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F7D7" w14:textId="77777777" w:rsidR="00886523" w:rsidRDefault="00886523" w:rsidP="00886178">
      <w:pPr>
        <w:jc w:val="center"/>
        <w:rPr>
          <w:b/>
          <w:bCs/>
          <w:color w:val="002060"/>
        </w:rPr>
      </w:pPr>
    </w:p>
    <w:p w14:paraId="2650CF2F" w14:textId="43944DC4" w:rsidR="00886178" w:rsidRPr="00D615FD" w:rsidRDefault="00FE288E" w:rsidP="00D615FD">
      <w:pPr>
        <w:jc w:val="center"/>
        <w:rPr>
          <w:b/>
          <w:bCs/>
          <w:color w:val="002060"/>
        </w:rPr>
      </w:pPr>
      <w:r w:rsidRPr="00546292">
        <w:rPr>
          <w:b/>
          <w:bCs/>
          <w:color w:val="002060"/>
        </w:rPr>
        <w:t>GOBERNANZA EN PRESTADORES DE AGUA POTABLE Y SANEAMIENTO BÁSICO</w:t>
      </w:r>
    </w:p>
    <w:p w14:paraId="3E448EF9" w14:textId="77777777" w:rsidR="004313C7" w:rsidRDefault="004313C7" w:rsidP="00886178">
      <w:pPr>
        <w:rPr>
          <w:b/>
          <w:bCs/>
          <w:color w:val="002060"/>
        </w:rPr>
      </w:pPr>
    </w:p>
    <w:p w14:paraId="393A89C0" w14:textId="0B71D258" w:rsidR="004313C7" w:rsidRPr="00FE288E" w:rsidRDefault="004313C7" w:rsidP="004313C7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Objetivo</w:t>
      </w:r>
      <w:r w:rsidR="00FE288E" w:rsidRPr="00FE288E">
        <w:rPr>
          <w:b/>
          <w:bCs/>
          <w:color w:val="002060"/>
          <w:sz w:val="22"/>
          <w:szCs w:val="22"/>
        </w:rPr>
        <w:t xml:space="preserve"> del curso</w:t>
      </w:r>
      <w:r w:rsidRPr="00FE288E">
        <w:rPr>
          <w:b/>
          <w:bCs/>
          <w:color w:val="002060"/>
          <w:sz w:val="22"/>
          <w:szCs w:val="22"/>
        </w:rPr>
        <w:t>:</w:t>
      </w:r>
    </w:p>
    <w:p w14:paraId="2804078A" w14:textId="6D3609E0" w:rsidR="004313C7" w:rsidRPr="00FE288E" w:rsidRDefault="00F30E49" w:rsidP="004313C7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Contribuir al fortalecimiento del sector de agua y saneamiento por medio de la estandarización de conceptos de gobierno corporativo y una aproximación pragmática para la implementación de buenas prácticas de gobernanza</w:t>
      </w:r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, guiado por altos estándares entre los cuales se destacan las Directrices de la OECD, la Nota 106 del BID y el marco COSO 2015 y prácticas con enfoque ESG (por sus siglas en ingles </w:t>
      </w:r>
      <w:proofErr w:type="spellStart"/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>Environmental</w:t>
      </w:r>
      <w:proofErr w:type="spellEnd"/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, Social and </w:t>
      </w:r>
      <w:proofErr w:type="spellStart"/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>Governance</w:t>
      </w:r>
      <w:proofErr w:type="spellEnd"/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) en especial las contenidas en los lineamientos de </w:t>
      </w:r>
      <w:proofErr w:type="spellStart"/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>BlackRock</w:t>
      </w:r>
      <w:proofErr w:type="spellEnd"/>
      <w:r w:rsidR="004313C7"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 2022. </w:t>
      </w:r>
    </w:p>
    <w:p w14:paraId="0D6E2FC1" w14:textId="77777777" w:rsidR="004313C7" w:rsidRPr="00FE288E" w:rsidRDefault="004313C7" w:rsidP="00886178">
      <w:pPr>
        <w:rPr>
          <w:b/>
          <w:bCs/>
          <w:color w:val="002060"/>
          <w:sz w:val="22"/>
          <w:szCs w:val="22"/>
        </w:rPr>
      </w:pPr>
    </w:p>
    <w:p w14:paraId="7273557B" w14:textId="0084DEB9" w:rsidR="004313C7" w:rsidRPr="00FE288E" w:rsidRDefault="00D615FD" w:rsidP="00886178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Pú</w:t>
      </w:r>
      <w:r w:rsidR="004313C7" w:rsidRPr="00FE288E">
        <w:rPr>
          <w:b/>
          <w:bCs/>
          <w:color w:val="002060"/>
          <w:sz w:val="22"/>
          <w:szCs w:val="22"/>
        </w:rPr>
        <w:t>blico</w:t>
      </w:r>
      <w:r w:rsidRPr="00FE288E">
        <w:rPr>
          <w:b/>
          <w:bCs/>
          <w:color w:val="002060"/>
          <w:sz w:val="22"/>
          <w:szCs w:val="22"/>
        </w:rPr>
        <w:t xml:space="preserve"> </w:t>
      </w:r>
      <w:r w:rsidR="00FE288E" w:rsidRPr="00FE288E">
        <w:rPr>
          <w:b/>
          <w:bCs/>
          <w:color w:val="002060"/>
          <w:sz w:val="22"/>
          <w:szCs w:val="22"/>
        </w:rPr>
        <w:t>o</w:t>
      </w:r>
      <w:r w:rsidRPr="00FE288E">
        <w:rPr>
          <w:b/>
          <w:bCs/>
          <w:color w:val="002060"/>
          <w:sz w:val="22"/>
          <w:szCs w:val="22"/>
        </w:rPr>
        <w:t>bjetivo</w:t>
      </w:r>
      <w:r w:rsidR="004313C7" w:rsidRPr="00FE288E">
        <w:rPr>
          <w:b/>
          <w:bCs/>
          <w:color w:val="002060"/>
          <w:sz w:val="22"/>
          <w:szCs w:val="22"/>
        </w:rPr>
        <w:t>:</w:t>
      </w:r>
    </w:p>
    <w:p w14:paraId="00BE49C0" w14:textId="1D184C9F" w:rsidR="00D615FD" w:rsidRPr="00FE288E" w:rsidRDefault="00D615FD" w:rsidP="00886178">
      <w:pPr>
        <w:rPr>
          <w:color w:val="002060"/>
          <w:sz w:val="22"/>
          <w:szCs w:val="22"/>
        </w:rPr>
      </w:pPr>
      <w:r w:rsidRPr="00FE288E">
        <w:rPr>
          <w:color w:val="002060"/>
          <w:sz w:val="22"/>
          <w:szCs w:val="22"/>
        </w:rPr>
        <w:t>Principales</w:t>
      </w:r>
    </w:p>
    <w:p w14:paraId="522FF333" w14:textId="7C4B1888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Gerentes generales empresas de agua y saneamiento </w:t>
      </w:r>
    </w:p>
    <w:p w14:paraId="09BCD060" w14:textId="1CF954BF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Secretarios generales </w:t>
      </w:r>
    </w:p>
    <w:p w14:paraId="7BA24CB9" w14:textId="49C99D8F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Jefes de gobierno corporativo </w:t>
      </w:r>
    </w:p>
    <w:p w14:paraId="3C073740" w14:textId="69CAB995" w:rsidR="00D615FD" w:rsidRPr="00FE288E" w:rsidRDefault="00D615FD" w:rsidP="00D615FD">
      <w:pPr>
        <w:rPr>
          <w:color w:val="002060"/>
          <w:sz w:val="22"/>
          <w:szCs w:val="22"/>
        </w:rPr>
      </w:pPr>
      <w:r w:rsidRPr="00FE288E">
        <w:rPr>
          <w:color w:val="002060"/>
          <w:sz w:val="22"/>
          <w:szCs w:val="22"/>
        </w:rPr>
        <w:t>Secundarios</w:t>
      </w:r>
    </w:p>
    <w:p w14:paraId="24A04CBB" w14:textId="01D39FF0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Directivos y profesionales de empresas de agua y saneamiento</w:t>
      </w:r>
    </w:p>
    <w:p w14:paraId="1856BA0E" w14:textId="3563211B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Alcaldes y secretarios de gobierno vinculados a la administración de las empresas de agua y saneamiento</w:t>
      </w:r>
    </w:p>
    <w:p w14:paraId="34AC6F30" w14:textId="6FFEB183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Oficiales de entidades de gobierno vinculadas al sector (MVCT, DNP, CRA, SSPD)</w:t>
      </w:r>
    </w:p>
    <w:p w14:paraId="54FC0EA2" w14:textId="46531C4C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Asociaciones gremiales (ANDESCO, ACODAL)</w:t>
      </w:r>
    </w:p>
    <w:p w14:paraId="56324254" w14:textId="5485445B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Docentes y estudiantes (interesados / vinculados en el sector de servicios públicos) </w:t>
      </w:r>
    </w:p>
    <w:p w14:paraId="39B5CF55" w14:textId="20B96157" w:rsidR="00D615FD" w:rsidRPr="00FE288E" w:rsidRDefault="00D615FD" w:rsidP="00F30E49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Firmas consultoras asociadas al sector de servicios públicos </w:t>
      </w:r>
    </w:p>
    <w:p w14:paraId="400DC88A" w14:textId="77777777" w:rsidR="00D615FD" w:rsidRPr="00FE288E" w:rsidRDefault="00D615FD" w:rsidP="00886178">
      <w:pPr>
        <w:rPr>
          <w:b/>
          <w:bCs/>
          <w:color w:val="002060"/>
          <w:sz w:val="22"/>
          <w:szCs w:val="22"/>
        </w:rPr>
      </w:pPr>
    </w:p>
    <w:p w14:paraId="094456B1" w14:textId="672DC28B" w:rsidR="00546292" w:rsidRPr="00FE288E" w:rsidRDefault="00546292" w:rsidP="00886178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Contenido temático:</w:t>
      </w:r>
    </w:p>
    <w:p w14:paraId="2D84B04C" w14:textId="3009727E" w:rsidR="00546292" w:rsidRPr="00FE288E" w:rsidRDefault="00546292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Introducción</w:t>
      </w:r>
    </w:p>
    <w:p w14:paraId="76BF9D7B" w14:textId="2AB98F7D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Módulo 1. El entorno sectorial de las empresas de acueducto y alcantarillado</w:t>
      </w:r>
    </w:p>
    <w:p w14:paraId="61594C44" w14:textId="6860B436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Módulo 2. Gobierno Corporativo</w:t>
      </w:r>
    </w:p>
    <w:p w14:paraId="4E2A9C6C" w14:textId="2C52CB08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Módulo 3. Reto de la relación con la propiedad</w:t>
      </w:r>
    </w:p>
    <w:p w14:paraId="6622F91C" w14:textId="75808F57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Módulo 4. Elementos fundamentales de las juntas directiva</w:t>
      </w:r>
    </w:p>
    <w:p w14:paraId="2E60589A" w14:textId="775445AA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Módulo 5: Arquitectura del control y rol del comité de auditoría</w:t>
      </w:r>
    </w:p>
    <w:p w14:paraId="0DC1B935" w14:textId="02D6799A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Módulo 6: Rol de la Junta Directiva en materia de riesgos</w:t>
      </w:r>
    </w:p>
    <w:p w14:paraId="1C5B0FB3" w14:textId="4796D38C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Módulo 7: Conducta Empresarial responsable</w:t>
      </w:r>
    </w:p>
    <w:p w14:paraId="4D070AEE" w14:textId="77777777" w:rsidR="00F30E49" w:rsidRPr="00FE288E" w:rsidRDefault="00F30E49" w:rsidP="00F30E49">
      <w:pPr>
        <w:rPr>
          <w:b/>
          <w:bCs/>
          <w:color w:val="002060"/>
          <w:sz w:val="22"/>
          <w:szCs w:val="22"/>
        </w:rPr>
      </w:pPr>
    </w:p>
    <w:p w14:paraId="1F1B3A40" w14:textId="4FDB27D6" w:rsidR="00F30E49" w:rsidRPr="00FE288E" w:rsidRDefault="00F30E49" w:rsidP="00F30E49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Herramientas prácticas disponibles en el contenido del curso:</w:t>
      </w:r>
    </w:p>
    <w:p w14:paraId="509A064A" w14:textId="505A9F94" w:rsidR="00886178" w:rsidRPr="00885096" w:rsidRDefault="00885096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Modelo de mandato de propiedad, acuerdo de gobernabilidad o acuerdo de accionistas</w:t>
      </w:r>
    </w:p>
    <w:p w14:paraId="4C822AAD" w14:textId="365F312D" w:rsidR="00885096" w:rsidRPr="00885096" w:rsidRDefault="00885096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Análisis de grupos de interés desde la perspectiva de gobierno corporativo</w:t>
      </w:r>
    </w:p>
    <w:p w14:paraId="5ED54951" w14:textId="750493BF" w:rsidR="00885096" w:rsidRPr="00885096" w:rsidRDefault="00885096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Recomendaciones para la rendición de cuentas e informes anuales </w:t>
      </w:r>
    </w:p>
    <w:p w14:paraId="15F4B56E" w14:textId="58CF0F41" w:rsidR="00885096" w:rsidRPr="00885096" w:rsidRDefault="00885096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Recomendaciones para la inducción de la JD</w:t>
      </w:r>
    </w:p>
    <w:p w14:paraId="19DDEDB9" w14:textId="0BFEA9D1" w:rsidR="00885096" w:rsidRPr="00FE288E" w:rsidRDefault="00885096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Modelos de arquitectura de control </w:t>
      </w:r>
    </w:p>
    <w:sectPr w:rsidR="00885096" w:rsidRPr="00FE288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3418B" w14:textId="77777777" w:rsidR="00C60736" w:rsidRDefault="00C60736" w:rsidP="00886523">
      <w:r>
        <w:separator/>
      </w:r>
    </w:p>
  </w:endnote>
  <w:endnote w:type="continuationSeparator" w:id="0">
    <w:p w14:paraId="5F7D1112" w14:textId="77777777" w:rsidR="00C60736" w:rsidRDefault="00C60736" w:rsidP="0088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45FF" w14:textId="77777777" w:rsidR="00C60736" w:rsidRDefault="00C60736" w:rsidP="00886523">
      <w:r>
        <w:separator/>
      </w:r>
    </w:p>
  </w:footnote>
  <w:footnote w:type="continuationSeparator" w:id="0">
    <w:p w14:paraId="1404E21E" w14:textId="77777777" w:rsidR="00C60736" w:rsidRDefault="00C60736" w:rsidP="0088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65CA" w14:textId="56AE225A" w:rsidR="00886523" w:rsidRDefault="005462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BD53B" wp14:editId="247EC5DC">
          <wp:simplePos x="0" y="0"/>
          <wp:positionH relativeFrom="margin">
            <wp:posOffset>3970232</wp:posOffset>
          </wp:positionH>
          <wp:positionV relativeFrom="margin">
            <wp:posOffset>-731308</wp:posOffset>
          </wp:positionV>
          <wp:extent cx="1206500" cy="490855"/>
          <wp:effectExtent l="0" t="0" r="0" b="4445"/>
          <wp:wrapSquare wrapText="bothSides"/>
          <wp:docPr id="5" name="Picture 5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black 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84" b="31622"/>
                  <a:stretch/>
                </pic:blipFill>
                <pic:spPr bwMode="auto">
                  <a:xfrm>
                    <a:off x="0" y="0"/>
                    <a:ext cx="1206500" cy="490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88AF83" wp14:editId="2F5A036A">
          <wp:simplePos x="0" y="0"/>
          <wp:positionH relativeFrom="margin">
            <wp:posOffset>5265632</wp:posOffset>
          </wp:positionH>
          <wp:positionV relativeFrom="margin">
            <wp:posOffset>-800735</wp:posOffset>
          </wp:positionV>
          <wp:extent cx="1452488" cy="731520"/>
          <wp:effectExtent l="0" t="0" r="0" b="5080"/>
          <wp:wrapSquare wrapText="bothSides"/>
          <wp:docPr id="6" name="Picture 6" descr="A picture containing text, businesscard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businesscard, font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8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523">
      <w:rPr>
        <w:noProof/>
      </w:rPr>
      <w:drawing>
        <wp:anchor distT="0" distB="0" distL="114300" distR="114300" simplePos="0" relativeHeight="251658240" behindDoc="0" locked="0" layoutInCell="1" allowOverlap="1" wp14:anchorId="74A8648B" wp14:editId="18096DCF">
          <wp:simplePos x="0" y="0"/>
          <wp:positionH relativeFrom="margin">
            <wp:posOffset>-643466</wp:posOffset>
          </wp:positionH>
          <wp:positionV relativeFrom="margin">
            <wp:posOffset>-727710</wp:posOffset>
          </wp:positionV>
          <wp:extent cx="3271520" cy="5334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5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64AB"/>
    <w:multiLevelType w:val="hybridMultilevel"/>
    <w:tmpl w:val="7B4ED9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9E2F32"/>
    <w:multiLevelType w:val="hybridMultilevel"/>
    <w:tmpl w:val="40B842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C162A"/>
    <w:multiLevelType w:val="hybridMultilevel"/>
    <w:tmpl w:val="1BD86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4BC"/>
    <w:multiLevelType w:val="hybridMultilevel"/>
    <w:tmpl w:val="394C6A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652397"/>
    <w:multiLevelType w:val="hybridMultilevel"/>
    <w:tmpl w:val="37F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2E69"/>
    <w:multiLevelType w:val="hybridMultilevel"/>
    <w:tmpl w:val="6B225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010A5"/>
    <w:multiLevelType w:val="hybridMultilevel"/>
    <w:tmpl w:val="62AA8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E0CE9"/>
    <w:multiLevelType w:val="hybridMultilevel"/>
    <w:tmpl w:val="1078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35141"/>
    <w:multiLevelType w:val="hybridMultilevel"/>
    <w:tmpl w:val="D9F66C36"/>
    <w:lvl w:ilvl="0" w:tplc="47B087A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0049650">
    <w:abstractNumId w:val="5"/>
  </w:num>
  <w:num w:numId="2" w16cid:durableId="70592028">
    <w:abstractNumId w:val="4"/>
  </w:num>
  <w:num w:numId="3" w16cid:durableId="1725711139">
    <w:abstractNumId w:val="6"/>
  </w:num>
  <w:num w:numId="4" w16cid:durableId="2143771217">
    <w:abstractNumId w:val="8"/>
  </w:num>
  <w:num w:numId="5" w16cid:durableId="1617442209">
    <w:abstractNumId w:val="1"/>
  </w:num>
  <w:num w:numId="6" w16cid:durableId="1970210465">
    <w:abstractNumId w:val="0"/>
  </w:num>
  <w:num w:numId="7" w16cid:durableId="169830425">
    <w:abstractNumId w:val="3"/>
  </w:num>
  <w:num w:numId="8" w16cid:durableId="1129128901">
    <w:abstractNumId w:val="7"/>
  </w:num>
  <w:num w:numId="9" w16cid:durableId="41976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8"/>
    <w:rsid w:val="000466D2"/>
    <w:rsid w:val="002605DC"/>
    <w:rsid w:val="002C1C70"/>
    <w:rsid w:val="004313C7"/>
    <w:rsid w:val="004951A4"/>
    <w:rsid w:val="004B0941"/>
    <w:rsid w:val="00516D25"/>
    <w:rsid w:val="00531695"/>
    <w:rsid w:val="0053498B"/>
    <w:rsid w:val="00546292"/>
    <w:rsid w:val="005975DF"/>
    <w:rsid w:val="006F347B"/>
    <w:rsid w:val="00706451"/>
    <w:rsid w:val="00865316"/>
    <w:rsid w:val="00885096"/>
    <w:rsid w:val="00886178"/>
    <w:rsid w:val="00886523"/>
    <w:rsid w:val="0089353E"/>
    <w:rsid w:val="00AE1272"/>
    <w:rsid w:val="00AE3798"/>
    <w:rsid w:val="00BF164F"/>
    <w:rsid w:val="00BF56FC"/>
    <w:rsid w:val="00C3180E"/>
    <w:rsid w:val="00C60736"/>
    <w:rsid w:val="00D615FD"/>
    <w:rsid w:val="00DD56B0"/>
    <w:rsid w:val="00DE55C4"/>
    <w:rsid w:val="00E907B4"/>
    <w:rsid w:val="00F10B3A"/>
    <w:rsid w:val="00F30E49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BEE1"/>
  <w15:chartTrackingRefBased/>
  <w15:docId w15:val="{85A8AFD0-03A9-5647-A95F-753CF766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6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652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5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652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523"/>
    <w:rPr>
      <w:lang w:val="es-ES"/>
    </w:rPr>
  </w:style>
  <w:style w:type="character" w:customStyle="1" w:styleId="apple-converted-space">
    <w:name w:val="apple-converted-space"/>
    <w:basedOn w:val="Fuentedeprrafopredeter"/>
    <w:rsid w:val="0054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FAF905F9E6AD4DB9134E3420587CC8" ma:contentTypeVersion="15" ma:contentTypeDescription="Crear nuevo documento." ma:contentTypeScope="" ma:versionID="6a340e3354dfbb891db1f8842ffc78f1">
  <xsd:schema xmlns:xsd="http://www.w3.org/2001/XMLSchema" xmlns:xs="http://www.w3.org/2001/XMLSchema" xmlns:p="http://schemas.microsoft.com/office/2006/metadata/properties" xmlns:ns2="0d129538-f825-474a-9c7f-adb8b86f3a72" xmlns:ns3="6f02176d-b2b9-4285-9c3d-cacee5e198d4" targetNamespace="http://schemas.microsoft.com/office/2006/metadata/properties" ma:root="true" ma:fieldsID="33dbab2052adf50cf82797fe6606a840" ns2:_="" ns3:_="">
    <xsd:import namespace="0d129538-f825-474a-9c7f-adb8b86f3a72"/>
    <xsd:import namespace="6f02176d-b2b9-4285-9c3d-cacee5e19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9538-f825-474a-9c7f-adb8b86f3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2176d-b2b9-4285-9c3d-cacee5e198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9a6bd8-6605-4ad5-aa47-55fe7bd04107}" ma:internalName="TaxCatchAll" ma:showField="CatchAllData" ma:web="6f02176d-b2b9-4285-9c3d-cacee5e19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29538-f825-474a-9c7f-adb8b86f3a72">
      <Terms xmlns="http://schemas.microsoft.com/office/infopath/2007/PartnerControls"/>
    </lcf76f155ced4ddcb4097134ff3c332f>
    <TaxCatchAll xmlns="6f02176d-b2b9-4285-9c3d-cacee5e198d4" xsi:nil="true"/>
  </documentManagement>
</p:properties>
</file>

<file path=customXml/itemProps1.xml><?xml version="1.0" encoding="utf-8"?>
<ds:datastoreItem xmlns:ds="http://schemas.openxmlformats.org/officeDocument/2006/customXml" ds:itemID="{65251494-98E8-47D6-82EF-7CADF479D29B}"/>
</file>

<file path=customXml/itemProps2.xml><?xml version="1.0" encoding="utf-8"?>
<ds:datastoreItem xmlns:ds="http://schemas.openxmlformats.org/officeDocument/2006/customXml" ds:itemID="{2A67FF30-DEC2-42BD-BD51-1225BC21DC09}"/>
</file>

<file path=customXml/itemProps3.xml><?xml version="1.0" encoding="utf-8"?>
<ds:datastoreItem xmlns:ds="http://schemas.openxmlformats.org/officeDocument/2006/customXml" ds:itemID="{B6DD3F94-DFF5-4D9B-913B-8F4C6D3F4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Bohorquez Gongora</dc:creator>
  <cp:keywords/>
  <dc:description/>
  <cp:lastModifiedBy>Bohorquez Gongora Juan Fernando</cp:lastModifiedBy>
  <cp:revision>4</cp:revision>
  <dcterms:created xsi:type="dcterms:W3CDTF">2024-07-29T20:56:00Z</dcterms:created>
  <dcterms:modified xsi:type="dcterms:W3CDTF">2024-07-29T21:30:00Z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0x010100EAFAF905F9E6AD4DB9134E3420587CC8</vt:lpwstr>
  </property>
</Properties>
</file>