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61EB4" w14:textId="4AB81A3A" w:rsidR="005D17DB" w:rsidRPr="005D17DB" w:rsidRDefault="00124040" w:rsidP="005D17DB">
      <w:pPr>
        <w:spacing w:before="120" w:after="120" w:line="240" w:lineRule="auto"/>
        <w:jc w:val="center"/>
        <w:rPr>
          <w:rFonts w:ascii="Arial" w:eastAsia="Arial" w:hAnsi="Arial" w:cs="Arial"/>
          <w:b/>
          <w:bCs/>
          <w:sz w:val="24"/>
          <w:szCs w:val="24"/>
        </w:rPr>
      </w:pPr>
      <w:proofErr w:type="spellStart"/>
      <w:r w:rsidRPr="26B9D784">
        <w:rPr>
          <w:rFonts w:ascii="Arial" w:eastAsia="Arial" w:hAnsi="Arial" w:cs="Arial"/>
          <w:b/>
          <w:bCs/>
          <w:sz w:val="24"/>
          <w:szCs w:val="24"/>
          <w:lang w:val="fr-FR"/>
        </w:rPr>
        <w:t>T</w:t>
      </w:r>
      <w:r w:rsidR="005D17DB">
        <w:rPr>
          <w:rFonts w:ascii="Arial" w:eastAsia="Arial" w:hAnsi="Arial" w:cs="Arial"/>
          <w:b/>
          <w:bCs/>
          <w:sz w:val="24"/>
          <w:szCs w:val="24"/>
          <w:lang w:val="fr-FR"/>
        </w:rPr>
        <w:t>echnical</w:t>
      </w:r>
      <w:proofErr w:type="spellEnd"/>
      <w:r w:rsidR="005D17DB">
        <w:rPr>
          <w:rFonts w:ascii="Arial" w:eastAsia="Arial" w:hAnsi="Arial" w:cs="Arial"/>
          <w:b/>
          <w:bCs/>
          <w:sz w:val="24"/>
          <w:szCs w:val="24"/>
          <w:lang w:val="fr-FR"/>
        </w:rPr>
        <w:t xml:space="preserve"> </w:t>
      </w:r>
      <w:proofErr w:type="spellStart"/>
      <w:r w:rsidRPr="26B9D784">
        <w:rPr>
          <w:rFonts w:ascii="Arial" w:eastAsia="Arial" w:hAnsi="Arial" w:cs="Arial"/>
          <w:b/>
          <w:bCs/>
          <w:sz w:val="24"/>
          <w:szCs w:val="24"/>
          <w:lang w:val="fr-FR"/>
        </w:rPr>
        <w:t>C</w:t>
      </w:r>
      <w:r w:rsidR="005D17DB">
        <w:rPr>
          <w:rFonts w:ascii="Arial" w:eastAsia="Arial" w:hAnsi="Arial" w:cs="Arial"/>
          <w:b/>
          <w:bCs/>
          <w:sz w:val="24"/>
          <w:szCs w:val="24"/>
          <w:lang w:val="fr-FR"/>
        </w:rPr>
        <w:t>ooperation</w:t>
      </w:r>
      <w:proofErr w:type="spellEnd"/>
      <w:r w:rsidR="00340BC1" w:rsidRPr="26B9D784">
        <w:rPr>
          <w:rFonts w:ascii="Arial" w:eastAsia="Arial" w:hAnsi="Arial" w:cs="Arial"/>
          <w:b/>
          <w:bCs/>
          <w:sz w:val="24"/>
          <w:szCs w:val="24"/>
          <w:lang w:val="fr-FR"/>
        </w:rPr>
        <w:t xml:space="preserve"> </w:t>
      </w:r>
      <w:r w:rsidR="00017B41" w:rsidRPr="26B9D784">
        <w:rPr>
          <w:rFonts w:ascii="Arial" w:eastAsia="Arial" w:hAnsi="Arial" w:cs="Arial"/>
          <w:b/>
          <w:bCs/>
          <w:sz w:val="24"/>
          <w:szCs w:val="24"/>
          <w:lang w:val="fr-FR"/>
        </w:rPr>
        <w:t>Document</w:t>
      </w:r>
    </w:p>
    <w:p w14:paraId="3BBAB1BB" w14:textId="77777777" w:rsidR="0095711B" w:rsidRPr="000F744C" w:rsidRDefault="54260729" w:rsidP="54260729">
      <w:pPr>
        <w:pStyle w:val="Prrafodelista"/>
        <w:numPr>
          <w:ilvl w:val="0"/>
          <w:numId w:val="5"/>
        </w:numPr>
        <w:spacing w:before="120" w:after="120" w:line="240" w:lineRule="auto"/>
        <w:contextualSpacing w:val="0"/>
        <w:rPr>
          <w:rFonts w:ascii="Arial" w:eastAsia="Arial" w:hAnsi="Arial" w:cs="Arial"/>
          <w:b/>
          <w:bCs/>
        </w:rPr>
      </w:pPr>
      <w:r w:rsidRPr="54260729">
        <w:rPr>
          <w:rFonts w:ascii="Arial" w:eastAsia="Arial" w:hAnsi="Arial" w:cs="Arial"/>
          <w:b/>
          <w:bCs/>
        </w:rPr>
        <w:t>Basic Information for TC</w:t>
      </w:r>
    </w:p>
    <w:tbl>
      <w:tblPr>
        <w:tblStyle w:val="Tablaconcuadrcula"/>
        <w:tblW w:w="9540" w:type="dxa"/>
        <w:tblInd w:w="-3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56"/>
        <w:gridCol w:w="6084"/>
      </w:tblGrid>
      <w:tr w:rsidR="009F33FF" w:rsidRPr="00B811D8" w14:paraId="3BBAB1BE" w14:textId="77777777" w:rsidTr="27DF31B5">
        <w:tc>
          <w:tcPr>
            <w:tcW w:w="3456" w:type="dxa"/>
          </w:tcPr>
          <w:p w14:paraId="3BBAB1BC" w14:textId="77777777" w:rsidR="009F33FF" w:rsidRPr="000F744C" w:rsidRDefault="54260729" w:rsidP="54260729">
            <w:pPr>
              <w:pStyle w:val="Prrafodelista"/>
              <w:numPr>
                <w:ilvl w:val="0"/>
                <w:numId w:val="2"/>
              </w:numPr>
              <w:spacing w:after="60"/>
              <w:ind w:left="180" w:hanging="180"/>
              <w:contextualSpacing w:val="0"/>
              <w:jc w:val="both"/>
              <w:rPr>
                <w:rFonts w:ascii="Arial" w:eastAsia="Arial" w:hAnsi="Arial" w:cs="Arial"/>
                <w:sz w:val="18"/>
                <w:szCs w:val="18"/>
              </w:rPr>
            </w:pPr>
            <w:r w:rsidRPr="54260729">
              <w:rPr>
                <w:rFonts w:ascii="Arial" w:eastAsia="Arial" w:hAnsi="Arial" w:cs="Arial"/>
                <w:sz w:val="18"/>
                <w:szCs w:val="18"/>
              </w:rPr>
              <w:t>Country/Region:</w:t>
            </w:r>
          </w:p>
        </w:tc>
        <w:sdt>
          <w:sdtPr>
            <w:rPr>
              <w:rFonts w:ascii="Arial" w:hAnsi="Arial" w:cs="Arial"/>
              <w:sz w:val="18"/>
              <w:szCs w:val="18"/>
            </w:rPr>
            <w:alias w:val="COUNTRY"/>
            <w:tag w:val="COUNTRY"/>
            <w:id w:val="-33273071"/>
            <w:lock w:val="sdtContentLocked"/>
            <w:placeholder>
              <w:docPart w:val="56C1272BEE0247DD9B98E12DA2C29D68"/>
            </w:placeholder>
            <w:showingPlcHdr/>
          </w:sdtPr>
          <w:sdtEndPr/>
          <w:sdtContent>
            <w:tc>
              <w:tcPr>
                <w:tcW w:w="6084" w:type="dxa"/>
              </w:tcPr>
              <w:p w14:paraId="3BBAB1BD" w14:textId="44D6A840" w:rsidR="009F33FF" w:rsidRPr="00B811D8" w:rsidRDefault="0028247E" w:rsidP="0028247E">
                <w:pPr>
                  <w:spacing w:after="60"/>
                  <w:rPr>
                    <w:rFonts w:ascii="Arial" w:hAnsi="Arial" w:cs="Arial"/>
                    <w:sz w:val="18"/>
                    <w:szCs w:val="18"/>
                    <w:lang w:val="es-ES_tradnl"/>
                  </w:rPr>
                </w:pPr>
                <w:r>
                  <w:rPr>
                    <w:rFonts w:ascii="Arial" w:hAnsi="Arial" w:cs="Arial"/>
                    <w:sz w:val="18"/>
                    <w:szCs w:val="18"/>
                  </w:rPr>
                  <w:t>COLOMBIA</w:t>
                </w:r>
              </w:p>
            </w:tc>
          </w:sdtContent>
        </w:sdt>
      </w:tr>
      <w:tr w:rsidR="009F33FF" w:rsidRPr="00B811D8" w14:paraId="3BBAB1C1" w14:textId="77777777" w:rsidTr="27DF31B5">
        <w:tc>
          <w:tcPr>
            <w:tcW w:w="3456" w:type="dxa"/>
          </w:tcPr>
          <w:p w14:paraId="3BBAB1BF" w14:textId="77777777" w:rsidR="009F33FF" w:rsidRPr="000F744C" w:rsidRDefault="54260729" w:rsidP="54260729">
            <w:pPr>
              <w:pStyle w:val="Prrafodelista"/>
              <w:numPr>
                <w:ilvl w:val="0"/>
                <w:numId w:val="2"/>
              </w:numPr>
              <w:spacing w:after="60"/>
              <w:ind w:left="180" w:hanging="180"/>
              <w:contextualSpacing w:val="0"/>
              <w:jc w:val="both"/>
              <w:rPr>
                <w:rFonts w:ascii="Arial" w:eastAsia="Arial" w:hAnsi="Arial" w:cs="Arial"/>
                <w:sz w:val="18"/>
                <w:szCs w:val="18"/>
              </w:rPr>
            </w:pPr>
            <w:r w:rsidRPr="54260729">
              <w:rPr>
                <w:rFonts w:ascii="Arial" w:eastAsia="Arial" w:hAnsi="Arial" w:cs="Arial"/>
                <w:sz w:val="18"/>
                <w:szCs w:val="18"/>
              </w:rPr>
              <w:t>TC Name:</w:t>
            </w:r>
          </w:p>
        </w:tc>
        <w:sdt>
          <w:sdtPr>
            <w:rPr>
              <w:rFonts w:ascii="Arial" w:hAnsi="Arial" w:cs="Arial"/>
              <w:sz w:val="18"/>
              <w:szCs w:val="18"/>
            </w:rPr>
            <w:alias w:val="TC_NAME"/>
            <w:tag w:val="TC_NAME"/>
            <w:id w:val="-2134543230"/>
            <w:lock w:val="sdtContentLocked"/>
            <w:placeholder>
              <w:docPart w:val="FF4E946AA9D24613ACEFC195E8499DBF"/>
            </w:placeholder>
            <w:showingPlcHdr/>
          </w:sdtPr>
          <w:sdtEndPr/>
          <w:sdtContent>
            <w:tc>
              <w:tcPr>
                <w:tcW w:w="6084" w:type="dxa"/>
              </w:tcPr>
              <w:p w14:paraId="3BBAB1C0" w14:textId="7A017364" w:rsidR="009F33FF" w:rsidRPr="005D17DB" w:rsidRDefault="0028247E" w:rsidP="0028247E">
                <w:pPr>
                  <w:spacing w:after="60"/>
                  <w:rPr>
                    <w:rFonts w:ascii="Arial" w:hAnsi="Arial" w:cs="Arial"/>
                    <w:sz w:val="18"/>
                    <w:szCs w:val="18"/>
                  </w:rPr>
                </w:pPr>
                <w:r>
                  <w:rPr>
                    <w:rFonts w:ascii="Arial" w:hAnsi="Arial" w:cs="Arial"/>
                    <w:sz w:val="18"/>
                    <w:szCs w:val="18"/>
                  </w:rPr>
                  <w:t>Consolidation of best corporate development practices in the water and sanitation sector in Colombia</w:t>
                </w:r>
              </w:p>
            </w:tc>
          </w:sdtContent>
        </w:sdt>
      </w:tr>
      <w:tr w:rsidR="009F33FF" w:rsidRPr="00B811D8" w14:paraId="3BBAB1C4" w14:textId="77777777" w:rsidTr="00423F56">
        <w:trPr>
          <w:trHeight w:val="263"/>
        </w:trPr>
        <w:tc>
          <w:tcPr>
            <w:tcW w:w="3456" w:type="dxa"/>
          </w:tcPr>
          <w:p w14:paraId="3BBAB1C2" w14:textId="77777777" w:rsidR="009F33FF" w:rsidRPr="000F744C" w:rsidRDefault="54260729" w:rsidP="54260729">
            <w:pPr>
              <w:pStyle w:val="Prrafodelista"/>
              <w:numPr>
                <w:ilvl w:val="0"/>
                <w:numId w:val="2"/>
              </w:numPr>
              <w:spacing w:after="60"/>
              <w:ind w:left="180" w:hanging="180"/>
              <w:contextualSpacing w:val="0"/>
              <w:jc w:val="both"/>
              <w:rPr>
                <w:rFonts w:ascii="Arial" w:eastAsia="Arial" w:hAnsi="Arial" w:cs="Arial"/>
                <w:sz w:val="18"/>
                <w:szCs w:val="18"/>
              </w:rPr>
            </w:pPr>
            <w:r w:rsidRPr="54260729">
              <w:rPr>
                <w:rFonts w:ascii="Arial" w:eastAsia="Arial" w:hAnsi="Arial" w:cs="Arial"/>
                <w:sz w:val="18"/>
                <w:szCs w:val="18"/>
              </w:rPr>
              <w:t>TC Number:</w:t>
            </w:r>
          </w:p>
        </w:tc>
        <w:tc>
          <w:tcPr>
            <w:tcW w:w="6084" w:type="dxa"/>
          </w:tcPr>
          <w:p w14:paraId="3BBAB1C3" w14:textId="74F09155" w:rsidR="009F33FF" w:rsidRPr="00B811D8" w:rsidRDefault="00670E5E" w:rsidP="00EC6CAF">
            <w:pPr>
              <w:spacing w:after="60"/>
              <w:rPr>
                <w:rFonts w:ascii="Arial" w:hAnsi="Arial" w:cs="Arial"/>
                <w:sz w:val="18"/>
                <w:szCs w:val="18"/>
                <w:lang w:val="es-ES_tradnl"/>
              </w:rPr>
            </w:pPr>
            <w:sdt>
              <w:sdtPr>
                <w:rPr>
                  <w:rFonts w:ascii="Arial" w:hAnsi="Arial" w:cs="Arial"/>
                  <w:sz w:val="18"/>
                  <w:szCs w:val="18"/>
                </w:rPr>
                <w:alias w:val="TC_NUMBER"/>
                <w:tag w:val="TC_NUMBER"/>
                <w:id w:val="1461377678"/>
                <w:lock w:val="sdtContentLocked"/>
                <w:placeholder>
                  <w:docPart w:val="467533B11B3842A885C4CE0AFBB936CB"/>
                </w:placeholder>
              </w:sdtPr>
              <w:sdtEndPr/>
              <w:sdtContent>
                <w:r w:rsidR="00664574">
                  <w:rPr>
                    <w:rFonts w:ascii="Arial" w:hAnsi="Arial" w:cs="Arial"/>
                    <w:sz w:val="18"/>
                    <w:szCs w:val="18"/>
                  </w:rPr>
                  <w:t>CO-T1772</w:t>
                </w:r>
              </w:sdtContent>
            </w:sdt>
          </w:p>
        </w:tc>
      </w:tr>
      <w:tr w:rsidR="009F33FF" w:rsidRPr="0079778D" w14:paraId="3BBAB1C7" w14:textId="77777777" w:rsidTr="001127C3">
        <w:trPr>
          <w:trHeight w:val="288"/>
        </w:trPr>
        <w:tc>
          <w:tcPr>
            <w:tcW w:w="3456" w:type="dxa"/>
          </w:tcPr>
          <w:p w14:paraId="3BBAB1C5" w14:textId="77777777" w:rsidR="009F33FF" w:rsidRPr="000F744C" w:rsidRDefault="00E85797"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Team Leader/Members:</w:t>
            </w:r>
          </w:p>
        </w:tc>
        <w:tc>
          <w:tcPr>
            <w:tcW w:w="6084" w:type="dxa"/>
          </w:tcPr>
          <w:p w14:paraId="3BBAB1C6" w14:textId="1444A5AA" w:rsidR="00B83CCE" w:rsidRPr="00255D16" w:rsidRDefault="00670E5E" w:rsidP="00666FB4">
            <w:pPr>
              <w:spacing w:after="60"/>
              <w:jc w:val="both"/>
              <w:rPr>
                <w:rFonts w:ascii="Arial" w:hAnsi="Arial" w:cs="Arial"/>
                <w:sz w:val="18"/>
                <w:szCs w:val="18"/>
                <w:lang w:val="es-ES"/>
              </w:rPr>
            </w:pPr>
            <w:sdt>
              <w:sdtPr>
                <w:rPr>
                  <w:rFonts w:ascii="Arial" w:hAnsi="Arial" w:cs="Arial"/>
                  <w:sz w:val="18"/>
                  <w:szCs w:val="18"/>
                </w:rPr>
                <w:alias w:val="TEAM_MEMBER"/>
                <w:tag w:val="TEAM_MEMBER"/>
                <w:id w:val="-1287965550"/>
                <w:placeholder>
                  <w:docPart w:val="7D59D61F919644EFAB6C1B7C487B1A10"/>
                </w:placeholder>
              </w:sdtPr>
              <w:sdtEndPr/>
              <w:sdtContent>
                <w:r w:rsidR="008311B5" w:rsidRPr="008311B5">
                  <w:rPr>
                    <w:rFonts w:ascii="Arial" w:hAnsi="Arial" w:cs="Arial"/>
                    <w:sz w:val="18"/>
                    <w:szCs w:val="18"/>
                    <w:lang w:val="es-ES"/>
                  </w:rPr>
                  <w:t xml:space="preserve">Navarrete Jimenez, Manuel Jose (INE/WSA) </w:t>
                </w:r>
                <w:proofErr w:type="spellStart"/>
                <w:r w:rsidR="008311B5" w:rsidRPr="008311B5">
                  <w:rPr>
                    <w:rFonts w:ascii="Arial" w:hAnsi="Arial" w:cs="Arial"/>
                    <w:sz w:val="18"/>
                    <w:szCs w:val="18"/>
                    <w:lang w:val="es-ES"/>
                  </w:rPr>
                  <w:t>Team</w:t>
                </w:r>
                <w:proofErr w:type="spellEnd"/>
                <w:r w:rsidR="008311B5" w:rsidRPr="008311B5">
                  <w:rPr>
                    <w:rFonts w:ascii="Arial" w:hAnsi="Arial" w:cs="Arial"/>
                    <w:sz w:val="18"/>
                    <w:szCs w:val="18"/>
                    <w:lang w:val="es-ES"/>
                  </w:rPr>
                  <w:t xml:space="preserve"> Leader; Paez Rubio, Tania (INE/WSA) </w:t>
                </w:r>
                <w:proofErr w:type="spellStart"/>
                <w:r w:rsidR="008311B5" w:rsidRPr="008311B5">
                  <w:rPr>
                    <w:rFonts w:ascii="Arial" w:hAnsi="Arial" w:cs="Arial"/>
                    <w:sz w:val="18"/>
                    <w:szCs w:val="18"/>
                    <w:lang w:val="es-ES"/>
                  </w:rPr>
                  <w:t>Alternate</w:t>
                </w:r>
                <w:proofErr w:type="spellEnd"/>
                <w:r w:rsidR="008311B5" w:rsidRPr="008311B5">
                  <w:rPr>
                    <w:rFonts w:ascii="Arial" w:hAnsi="Arial" w:cs="Arial"/>
                    <w:sz w:val="18"/>
                    <w:szCs w:val="18"/>
                    <w:lang w:val="es-ES"/>
                  </w:rPr>
                  <w:t xml:space="preserve"> </w:t>
                </w:r>
                <w:proofErr w:type="spellStart"/>
                <w:r w:rsidR="008311B5" w:rsidRPr="008311B5">
                  <w:rPr>
                    <w:rFonts w:ascii="Arial" w:hAnsi="Arial" w:cs="Arial"/>
                    <w:sz w:val="18"/>
                    <w:szCs w:val="18"/>
                    <w:lang w:val="es-ES"/>
                  </w:rPr>
                  <w:t>Team</w:t>
                </w:r>
                <w:proofErr w:type="spellEnd"/>
                <w:r w:rsidR="008311B5" w:rsidRPr="008311B5">
                  <w:rPr>
                    <w:rFonts w:ascii="Arial" w:hAnsi="Arial" w:cs="Arial"/>
                    <w:sz w:val="18"/>
                    <w:szCs w:val="18"/>
                    <w:lang w:val="es-ES"/>
                  </w:rPr>
                  <w:t xml:space="preserve"> Leader; Ocampo Salgado Carolina (INE/WSA); Crausaz Sarzosa, Ernesto Patricio (VPC/FMP); Corzo Delgado Clara Maria (INE/WSA); Nicolas Moreno (ORP/GCM); Escudero, Carolina (VPC/FMP); Bonilla Merino Arturo Francisco (LEG/SGO); Barbosa Taves De Gouvea, Heleno (ORP/REM); Merchan Paladines, Vianca Tatiana (VPC/FMP); Romero Burgos Maria Fernanda (INE/WSA); Bohorquez Gongora Juan Fernando (INE/WSA); Garavito Estrada Carlos Eduardo (INE/WSA)</w:t>
                </w:r>
              </w:sdtContent>
            </w:sdt>
          </w:p>
        </w:tc>
      </w:tr>
      <w:tr w:rsidR="00E85797" w:rsidRPr="002D7FB5" w14:paraId="3BBAB1CA" w14:textId="77777777" w:rsidTr="3A232535">
        <w:trPr>
          <w:trHeight w:val="300"/>
        </w:trPr>
        <w:tc>
          <w:tcPr>
            <w:tcW w:w="3456" w:type="dxa"/>
          </w:tcPr>
          <w:p w14:paraId="3BBAB1C8" w14:textId="77777777" w:rsidR="00E85797" w:rsidRPr="000F744C" w:rsidRDefault="00B811D8" w:rsidP="26B9D784">
            <w:pPr>
              <w:pStyle w:val="Prrafodelista"/>
              <w:numPr>
                <w:ilvl w:val="0"/>
                <w:numId w:val="2"/>
              </w:numPr>
              <w:spacing w:after="60"/>
              <w:ind w:left="162" w:hanging="162"/>
              <w:jc w:val="both"/>
              <w:rPr>
                <w:rFonts w:ascii="Arial" w:eastAsia="Arial" w:hAnsi="Arial" w:cs="Arial"/>
                <w:sz w:val="18"/>
                <w:szCs w:val="18"/>
              </w:rPr>
            </w:pPr>
            <w:r w:rsidRPr="26B9D784">
              <w:rPr>
                <w:rFonts w:ascii="Arial" w:eastAsia="Arial" w:hAnsi="Arial" w:cs="Arial"/>
                <w:sz w:val="18"/>
                <w:szCs w:val="18"/>
              </w:rPr>
              <w:t>Taxonomy:</w:t>
            </w:r>
          </w:p>
        </w:tc>
        <w:sdt>
          <w:sdtPr>
            <w:rPr>
              <w:rFonts w:ascii="Arial" w:hAnsi="Arial" w:cs="Arial"/>
              <w:sz w:val="18"/>
              <w:szCs w:val="18"/>
            </w:rPr>
            <w:alias w:val="OP_ATTRIBUTE"/>
            <w:tag w:val="OP_ATTRIBUTE"/>
            <w:id w:val="964085681"/>
            <w:lock w:val="sdtContentLocked"/>
            <w:placeholder>
              <w:docPart w:val="13B3AC0D3E9944F6A0BA112345EA50C9"/>
            </w:placeholder>
            <w:showingPlcHdr/>
          </w:sdtPr>
          <w:sdtEndPr/>
          <w:sdtContent>
            <w:tc>
              <w:tcPr>
                <w:tcW w:w="6084" w:type="dxa"/>
              </w:tcPr>
              <w:p w14:paraId="3BBAB1C9" w14:textId="14AE1621" w:rsidR="00E85797" w:rsidRPr="00B811D8" w:rsidRDefault="00C70C8B" w:rsidP="002D7FB5">
                <w:pPr>
                  <w:spacing w:after="60"/>
                  <w:rPr>
                    <w:rFonts w:ascii="Arial" w:hAnsi="Arial" w:cs="Arial"/>
                    <w:sz w:val="18"/>
                    <w:szCs w:val="18"/>
                    <w:lang w:val="es-ES_tradnl"/>
                  </w:rPr>
                </w:pPr>
                <w:r>
                  <w:rPr>
                    <w:rFonts w:ascii="Arial" w:hAnsi="Arial" w:cs="Arial"/>
                    <w:sz w:val="18"/>
                    <w:szCs w:val="18"/>
                  </w:rPr>
                  <w:t>Client Support</w:t>
                </w:r>
              </w:p>
            </w:tc>
          </w:sdtContent>
        </w:sdt>
      </w:tr>
      <w:tr w:rsidR="00E85797" w:rsidRPr="00B811D8" w14:paraId="3BBAB1CD" w14:textId="77777777" w:rsidTr="27DF31B5">
        <w:tc>
          <w:tcPr>
            <w:tcW w:w="3456" w:type="dxa"/>
          </w:tcPr>
          <w:p w14:paraId="3BBAB1CB" w14:textId="77777777" w:rsidR="00E85797" w:rsidRPr="000F744C" w:rsidRDefault="00E85797" w:rsidP="26B9D784">
            <w:pPr>
              <w:pStyle w:val="Prrafodelista"/>
              <w:numPr>
                <w:ilvl w:val="0"/>
                <w:numId w:val="2"/>
              </w:numPr>
              <w:spacing w:after="60"/>
              <w:ind w:left="162" w:hanging="162"/>
              <w:jc w:val="both"/>
              <w:rPr>
                <w:rFonts w:ascii="Arial" w:eastAsia="Arial" w:hAnsi="Arial" w:cs="Arial"/>
                <w:sz w:val="18"/>
                <w:szCs w:val="18"/>
              </w:rPr>
            </w:pPr>
            <w:r w:rsidRPr="26B9D784">
              <w:rPr>
                <w:rFonts w:ascii="Arial" w:eastAsia="Arial" w:hAnsi="Arial" w:cs="Arial"/>
                <w:sz w:val="18"/>
                <w:szCs w:val="18"/>
              </w:rPr>
              <w:t>Operation Supported by the TC:</w:t>
            </w:r>
          </w:p>
        </w:tc>
        <w:tc>
          <w:tcPr>
            <w:tcW w:w="6084" w:type="dxa"/>
          </w:tcPr>
          <w:p w14:paraId="3BBAB1CC" w14:textId="108173A5" w:rsidR="00E85797" w:rsidRPr="00B811D8" w:rsidRDefault="00670E5E" w:rsidP="00EC6CAF">
            <w:pPr>
              <w:spacing w:after="60"/>
              <w:rPr>
                <w:rFonts w:ascii="Arial" w:hAnsi="Arial" w:cs="Arial"/>
                <w:sz w:val="18"/>
                <w:szCs w:val="18"/>
                <w:lang w:val="es-ES_tradnl"/>
              </w:rPr>
            </w:pPr>
            <w:sdt>
              <w:sdtPr>
                <w:rPr>
                  <w:rFonts w:ascii="Arial" w:hAnsi="Arial" w:cs="Arial"/>
                  <w:sz w:val="18"/>
                  <w:szCs w:val="18"/>
                </w:rPr>
                <w:alias w:val="OP_SUPPORT"/>
                <w:tag w:val="OP_SUPPORT"/>
                <w:id w:val="-2123912766"/>
                <w:lock w:val="sdtContentLocked"/>
                <w:placeholder>
                  <w:docPart w:val="F21B320DC5CC4CA29D18953BBE653F77"/>
                </w:placeholder>
                <w:showingPlcHdr/>
              </w:sdtPr>
              <w:sdtEndPr/>
              <w:sdtContent>
                <w:r w:rsidR="00EC6CAF">
                  <w:rPr>
                    <w:rFonts w:ascii="Arial" w:hAnsi="Arial" w:cs="Arial"/>
                    <w:sz w:val="18"/>
                    <w:szCs w:val="18"/>
                  </w:rPr>
                  <w:t xml:space="preserve"> </w:t>
                </w:r>
              </w:sdtContent>
            </w:sdt>
            <w:r w:rsidR="7003F88A" w:rsidRPr="3A232535">
              <w:rPr>
                <w:rFonts w:ascii="Arial" w:hAnsi="Arial" w:cs="Arial"/>
                <w:sz w:val="18"/>
                <w:szCs w:val="18"/>
              </w:rPr>
              <w:t>N/A</w:t>
            </w:r>
          </w:p>
        </w:tc>
      </w:tr>
      <w:tr w:rsidR="009F33FF" w:rsidRPr="00B811D8" w14:paraId="3BBAB1D0" w14:textId="77777777" w:rsidTr="27DF31B5">
        <w:tc>
          <w:tcPr>
            <w:tcW w:w="3456" w:type="dxa"/>
          </w:tcPr>
          <w:p w14:paraId="3BBAB1CE" w14:textId="77777777" w:rsidR="009F33FF" w:rsidRPr="000F744C" w:rsidRDefault="009F33FF"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Date of TC Abstract authorization:</w:t>
            </w:r>
          </w:p>
        </w:tc>
        <w:tc>
          <w:tcPr>
            <w:tcW w:w="6084" w:type="dxa"/>
          </w:tcPr>
          <w:p w14:paraId="3BBAB1CF" w14:textId="512DF123" w:rsidR="009F33FF" w:rsidRPr="00B811D8" w:rsidRDefault="00670E5E" w:rsidP="00EC6CAF">
            <w:pPr>
              <w:spacing w:after="60"/>
              <w:rPr>
                <w:rFonts w:ascii="Arial" w:hAnsi="Arial" w:cs="Arial"/>
                <w:sz w:val="18"/>
                <w:szCs w:val="18"/>
                <w:lang w:val="es-ES_tradnl"/>
              </w:rPr>
            </w:pPr>
            <w:sdt>
              <w:sdtPr>
                <w:rPr>
                  <w:rFonts w:ascii="Arial" w:hAnsi="Arial" w:cs="Arial"/>
                  <w:sz w:val="18"/>
                  <w:szCs w:val="18"/>
                </w:rPr>
                <w:alias w:val="DATE_TC"/>
                <w:tag w:val="DATE_TC"/>
                <w:id w:val="1154412429"/>
                <w:lock w:val="sdtContentLocked"/>
                <w:placeholder>
                  <w:docPart w:val="7D3AEF0B751A447FB17ABAB7B569C791"/>
                </w:placeholder>
                <w:showingPlcHdr/>
              </w:sdtPr>
              <w:sdtEndPr/>
              <w:sdtContent>
                <w:r w:rsidR="00EC6CAF">
                  <w:rPr>
                    <w:rFonts w:ascii="Arial" w:hAnsi="Arial" w:cs="Arial"/>
                    <w:sz w:val="18"/>
                    <w:szCs w:val="18"/>
                  </w:rPr>
                  <w:t>13 Aug 2024</w:t>
                </w:r>
              </w:sdtContent>
            </w:sdt>
            <w:r w:rsidR="002E65F5" w:rsidRPr="00E40AE6">
              <w:rPr>
                <w:rFonts w:ascii="Arial" w:hAnsi="Arial" w:cs="Arial"/>
                <w:color w:val="000000" w:themeColor="text1"/>
                <w:sz w:val="18"/>
                <w:szCs w:val="18"/>
                <w:lang w:val="es-ES_tradnl"/>
              </w:rPr>
              <w:t>.</w:t>
            </w:r>
          </w:p>
        </w:tc>
      </w:tr>
      <w:tr w:rsidR="009F33FF" w:rsidRPr="00B811D8" w14:paraId="3BBAB1D3" w14:textId="77777777" w:rsidTr="001127C3">
        <w:trPr>
          <w:trHeight w:val="288"/>
        </w:trPr>
        <w:tc>
          <w:tcPr>
            <w:tcW w:w="3456" w:type="dxa"/>
          </w:tcPr>
          <w:p w14:paraId="3BBAB1D1" w14:textId="77777777" w:rsidR="009F33FF" w:rsidRPr="000F744C" w:rsidRDefault="009F33FF"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Beneficiary:</w:t>
            </w:r>
          </w:p>
        </w:tc>
        <w:tc>
          <w:tcPr>
            <w:tcW w:w="6084" w:type="dxa"/>
          </w:tcPr>
          <w:p w14:paraId="3BBAB1D2" w14:textId="617D30A7" w:rsidR="009F33FF" w:rsidRPr="00455C4C" w:rsidRDefault="009B0821" w:rsidP="00825F8B">
            <w:pPr>
              <w:tabs>
                <w:tab w:val="left" w:pos="3740"/>
                <w:tab w:val="left" w:pos="4256"/>
              </w:tabs>
              <w:spacing w:after="60"/>
              <w:rPr>
                <w:rFonts w:ascii="Arial" w:eastAsia="Arial" w:hAnsi="Arial" w:cs="Arial"/>
                <w:sz w:val="18"/>
                <w:szCs w:val="18"/>
              </w:rPr>
            </w:pPr>
            <w:r w:rsidRPr="009B0821">
              <w:rPr>
                <w:rFonts w:ascii="Arial" w:eastAsia="Arial" w:hAnsi="Arial" w:cs="Arial"/>
                <w:bCs/>
                <w:sz w:val="18"/>
                <w:szCs w:val="18"/>
              </w:rPr>
              <w:t>Colombia (Water and Sanitation Utilities)</w:t>
            </w:r>
          </w:p>
        </w:tc>
      </w:tr>
      <w:tr w:rsidR="009F33FF" w:rsidRPr="00B811D8" w14:paraId="3BBAB1D6" w14:textId="77777777" w:rsidTr="27DF31B5">
        <w:tc>
          <w:tcPr>
            <w:tcW w:w="3456" w:type="dxa"/>
          </w:tcPr>
          <w:p w14:paraId="3BBAB1D4" w14:textId="77777777" w:rsidR="009F33FF" w:rsidRPr="000F744C" w:rsidRDefault="009F33FF"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Executing Agency and contact name</w:t>
            </w:r>
            <w:r w:rsidR="00B811D8" w:rsidRPr="26B9D784">
              <w:rPr>
                <w:rFonts w:ascii="Arial" w:eastAsia="Arial" w:hAnsi="Arial" w:cs="Arial"/>
                <w:sz w:val="18"/>
                <w:szCs w:val="18"/>
              </w:rPr>
              <w:t>:</w:t>
            </w:r>
            <w:r w:rsidRPr="26B9D784">
              <w:rPr>
                <w:rFonts w:ascii="Arial" w:eastAsia="Arial" w:hAnsi="Arial" w:cs="Arial"/>
                <w:sz w:val="18"/>
                <w:szCs w:val="18"/>
              </w:rPr>
              <w:t xml:space="preserve"> </w:t>
            </w:r>
          </w:p>
        </w:tc>
        <w:tc>
          <w:tcPr>
            <w:tcW w:w="6084" w:type="dxa"/>
          </w:tcPr>
          <w:p w14:paraId="3BBAB1D5" w14:textId="77D7BD81" w:rsidR="009F33FF" w:rsidRPr="00FC4631" w:rsidRDefault="00670E5E" w:rsidP="000F6D52">
            <w:pPr>
              <w:spacing w:after="60"/>
              <w:rPr>
                <w:rFonts w:ascii="Arial" w:hAnsi="Arial" w:cs="Arial"/>
                <w:sz w:val="18"/>
                <w:szCs w:val="18"/>
              </w:rPr>
            </w:pPr>
            <w:sdt>
              <w:sdtPr>
                <w:rPr>
                  <w:rFonts w:ascii="Arial" w:hAnsi="Arial" w:cs="Arial"/>
                  <w:sz w:val="18"/>
                  <w:szCs w:val="18"/>
                </w:rPr>
                <w:alias w:val="AGENCY"/>
                <w:tag w:val="AGENCY"/>
                <w:id w:val="1409500846"/>
                <w:lock w:val="sdtContentLocked"/>
                <w:placeholder>
                  <w:docPart w:val="1826176F614340649BFAC28C3B63B783"/>
                </w:placeholder>
              </w:sdtPr>
              <w:sdtEndPr/>
              <w:sdtContent>
                <w:r w:rsidR="008311B5" w:rsidRPr="008311B5">
                  <w:rPr>
                    <w:rFonts w:ascii="Arial" w:hAnsi="Arial" w:cs="Arial"/>
                    <w:sz w:val="18"/>
                    <w:szCs w:val="18"/>
                  </w:rPr>
                  <w:t>Inter-American Development Bank and Colombian Association of Sanitary and Environmental Engineering (ACODAL) as co-executing agency</w:t>
                </w:r>
              </w:sdtContent>
            </w:sdt>
            <w:r w:rsidR="00432C3D" w:rsidRPr="00FC4631">
              <w:rPr>
                <w:rFonts w:ascii="Arial" w:hAnsi="Arial" w:cs="Arial"/>
                <w:sz w:val="18"/>
                <w:szCs w:val="18"/>
              </w:rPr>
              <w:t xml:space="preserve">  </w:t>
            </w:r>
          </w:p>
        </w:tc>
      </w:tr>
      <w:tr w:rsidR="00FA40C9" w:rsidRPr="00B811D8" w14:paraId="3BBAB1D9" w14:textId="77777777" w:rsidTr="001127C3">
        <w:trPr>
          <w:trHeight w:val="288"/>
        </w:trPr>
        <w:tc>
          <w:tcPr>
            <w:tcW w:w="3456" w:type="dxa"/>
          </w:tcPr>
          <w:p w14:paraId="3BBAB1D7" w14:textId="77777777" w:rsidR="00FA40C9" w:rsidRPr="000F744C" w:rsidRDefault="00FA40C9"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Donors providing funding:</w:t>
            </w:r>
          </w:p>
        </w:tc>
        <w:sdt>
          <w:sdtPr>
            <w:rPr>
              <w:rFonts w:ascii="Arial" w:hAnsi="Arial" w:cs="Arial"/>
              <w:sz w:val="18"/>
              <w:szCs w:val="18"/>
            </w:rPr>
            <w:alias w:val="DONOR"/>
            <w:tag w:val="DONOR"/>
            <w:id w:val="-188450512"/>
            <w:lock w:val="sdtContentLocked"/>
            <w:placeholder>
              <w:docPart w:val="3A441E49045C4B1FA2FC2B82D3BF329B"/>
            </w:placeholder>
            <w:showingPlcHdr/>
            <w:text w:multiLine="1"/>
          </w:sdtPr>
          <w:sdtEndPr/>
          <w:sdtContent>
            <w:tc>
              <w:tcPr>
                <w:tcW w:w="6084" w:type="dxa"/>
              </w:tcPr>
              <w:p w14:paraId="3BBAB1D8" w14:textId="593EFBD7" w:rsidR="00084849" w:rsidRPr="001127C3" w:rsidRDefault="008311B5" w:rsidP="00364A0B">
                <w:pPr>
                  <w:spacing w:after="60"/>
                  <w:rPr>
                    <w:rFonts w:ascii="Arial" w:hAnsi="Arial" w:cs="Arial"/>
                    <w:sz w:val="18"/>
                    <w:szCs w:val="18"/>
                  </w:rPr>
                </w:pPr>
                <w:r w:rsidRPr="008311B5">
                  <w:rPr>
                    <w:rFonts w:ascii="Arial" w:hAnsi="Arial" w:cs="Arial"/>
                    <w:sz w:val="18"/>
                    <w:szCs w:val="18"/>
                  </w:rPr>
                  <w:t>Project Specific Contributions (PSC); Strategic Development Program Window 2 – Sustainable Infrastructure (W2B)</w:t>
                </w:r>
              </w:p>
            </w:tc>
          </w:sdtContent>
        </w:sdt>
      </w:tr>
      <w:tr w:rsidR="009F33FF" w:rsidRPr="00B811D8" w14:paraId="3BBAB1DC" w14:textId="77777777" w:rsidTr="27DF31B5">
        <w:tc>
          <w:tcPr>
            <w:tcW w:w="3456" w:type="dxa"/>
          </w:tcPr>
          <w:p w14:paraId="3BBAB1DA" w14:textId="6B5C30A0" w:rsidR="009F33FF" w:rsidRPr="000F744C" w:rsidRDefault="009F33FF"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IDB Funding Requested</w:t>
            </w:r>
            <w:r w:rsidR="00531F52">
              <w:rPr>
                <w:rStyle w:val="Refdenotaalpie"/>
                <w:rFonts w:ascii="Arial" w:eastAsia="Arial" w:hAnsi="Arial" w:cs="Arial"/>
                <w:sz w:val="18"/>
                <w:szCs w:val="18"/>
              </w:rPr>
              <w:footnoteReference w:id="2"/>
            </w:r>
            <w:r w:rsidR="002A775E">
              <w:rPr>
                <w:rFonts w:ascii="Arial" w:eastAsia="Arial" w:hAnsi="Arial" w:cs="Arial"/>
                <w:sz w:val="18"/>
                <w:szCs w:val="18"/>
              </w:rPr>
              <w:t xml:space="preserve"> </w:t>
            </w:r>
            <w:r w:rsidR="00012219">
              <w:rPr>
                <w:rStyle w:val="Refdenotaalpie"/>
                <w:rFonts w:ascii="Arial" w:eastAsia="Arial" w:hAnsi="Arial" w:cs="Arial"/>
                <w:sz w:val="18"/>
                <w:szCs w:val="18"/>
              </w:rPr>
              <w:footnoteReference w:id="3"/>
            </w:r>
            <w:r w:rsidRPr="26B9D784">
              <w:rPr>
                <w:rFonts w:ascii="Arial" w:eastAsia="Arial" w:hAnsi="Arial" w:cs="Arial"/>
                <w:sz w:val="18"/>
                <w:szCs w:val="18"/>
              </w:rPr>
              <w:t>:</w:t>
            </w:r>
          </w:p>
        </w:tc>
        <w:sdt>
          <w:sdtPr>
            <w:rPr>
              <w:rStyle w:val="Textodelmarcadordeposicin"/>
              <w:color w:val="auto"/>
            </w:rPr>
            <w:alias w:val="FUNDING_REQ"/>
            <w:tag w:val="FUNDING_REQ"/>
            <w:id w:val="250395411"/>
            <w:lock w:val="sdtContentLocked"/>
            <w:placeholder>
              <w:docPart w:val="DFF8BD4D882A441F8845491D2D63C990"/>
            </w:placeholder>
            <w:showingPlcHdr/>
            <w:text/>
          </w:sdtPr>
          <w:sdtEndPr>
            <w:rPr>
              <w:rStyle w:val="Textodelmarcadordeposicin"/>
              <w:rFonts w:ascii="Arial" w:hAnsi="Arial" w:cs="Arial"/>
              <w:sz w:val="18"/>
              <w:szCs w:val="18"/>
            </w:rPr>
          </w:sdtEndPr>
          <w:sdtContent>
            <w:tc>
              <w:tcPr>
                <w:tcW w:w="6084" w:type="dxa"/>
              </w:tcPr>
              <w:p w14:paraId="01ED21C5" w14:textId="77777777" w:rsidR="008311B5" w:rsidRPr="008311B5" w:rsidRDefault="008311B5" w:rsidP="008311B5">
                <w:pPr>
                  <w:spacing w:after="60"/>
                  <w:rPr>
                    <w:rFonts w:ascii="Arial"/>
                    <w:sz w:val="18"/>
                  </w:rPr>
                </w:pPr>
                <w:r w:rsidRPr="008311B5">
                  <w:rPr>
                    <w:rFonts w:ascii="Arial"/>
                    <w:sz w:val="18"/>
                  </w:rPr>
                  <w:t>Project Specific Contributions (PSC); US$2.508.000</w:t>
                </w:r>
              </w:p>
              <w:p w14:paraId="0135263D" w14:textId="77777777" w:rsidR="008311B5" w:rsidRPr="008311B5" w:rsidRDefault="008311B5" w:rsidP="008311B5">
                <w:pPr>
                  <w:spacing w:after="60"/>
                  <w:rPr>
                    <w:rFonts w:ascii="Arial"/>
                    <w:sz w:val="18"/>
                  </w:rPr>
                </w:pPr>
                <w:r w:rsidRPr="008311B5">
                  <w:rPr>
                    <w:rFonts w:ascii="Arial"/>
                    <w:sz w:val="18"/>
                  </w:rPr>
                  <w:t xml:space="preserve">Strategic Development Program Window 2 </w:t>
                </w:r>
                <w:r w:rsidRPr="008311B5">
                  <w:rPr>
                    <w:rFonts w:ascii="Arial"/>
                    <w:sz w:val="18"/>
                  </w:rPr>
                  <w:t>–</w:t>
                </w:r>
                <w:r w:rsidRPr="008311B5">
                  <w:rPr>
                    <w:rFonts w:ascii="Arial"/>
                    <w:sz w:val="18"/>
                  </w:rPr>
                  <w:t xml:space="preserve"> Sustainable Infrastructure (W2B): US$600.000</w:t>
                </w:r>
              </w:p>
              <w:p w14:paraId="6F0890F5" w14:textId="77777777" w:rsidR="008311B5" w:rsidRPr="008311B5" w:rsidRDefault="008311B5" w:rsidP="008311B5">
                <w:pPr>
                  <w:spacing w:after="60"/>
                  <w:rPr>
                    <w:rFonts w:ascii="Arial"/>
                    <w:sz w:val="18"/>
                  </w:rPr>
                </w:pPr>
                <w:r w:rsidRPr="008311B5">
                  <w:rPr>
                    <w:rFonts w:ascii="Arial"/>
                    <w:sz w:val="18"/>
                  </w:rPr>
                  <w:t xml:space="preserve">Total: US$3.108.000 </w:t>
                </w:r>
              </w:p>
              <w:p w14:paraId="3BBAB1DB" w14:textId="36ADEA94" w:rsidR="009F33FF" w:rsidRPr="006E4A43" w:rsidRDefault="009F33FF" w:rsidP="00EC6CAF">
                <w:pPr>
                  <w:spacing w:after="60"/>
                  <w:rPr>
                    <w:rFonts w:ascii="Arial"/>
                    <w:sz w:val="18"/>
                  </w:rPr>
                </w:pPr>
              </w:p>
            </w:tc>
          </w:sdtContent>
        </w:sdt>
      </w:tr>
      <w:tr w:rsidR="009F33FF" w:rsidRPr="00B811D8" w14:paraId="3BBAB1DF" w14:textId="77777777" w:rsidTr="27DF31B5">
        <w:tc>
          <w:tcPr>
            <w:tcW w:w="3456" w:type="dxa"/>
          </w:tcPr>
          <w:p w14:paraId="3BBAB1DD" w14:textId="77777777" w:rsidR="009F33FF" w:rsidRPr="000F744C" w:rsidRDefault="009F33FF"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Local counterpart funding, if any:</w:t>
            </w:r>
          </w:p>
        </w:tc>
        <w:sdt>
          <w:sdtPr>
            <w:rPr>
              <w:rFonts w:ascii="Arial" w:hAnsi="Arial" w:cs="Arial"/>
              <w:sz w:val="18"/>
              <w:szCs w:val="18"/>
            </w:rPr>
            <w:alias w:val="COUNTER_PART"/>
            <w:tag w:val="COUNTER_PART"/>
            <w:id w:val="-956483133"/>
            <w:lock w:val="sdtContentLocked"/>
            <w:placeholder>
              <w:docPart w:val="6F9C0EEFEBCB4461970FD4876B8C438A"/>
            </w:placeholder>
            <w:showingPlcHdr/>
            <w:text w:multiLine="1"/>
          </w:sdtPr>
          <w:sdtEndPr/>
          <w:sdtContent>
            <w:tc>
              <w:tcPr>
                <w:tcW w:w="6084" w:type="dxa"/>
              </w:tcPr>
              <w:p w14:paraId="3BBAB1DE" w14:textId="5A9A3C52" w:rsidR="009F33FF" w:rsidRPr="00B811D8" w:rsidRDefault="004A0A91" w:rsidP="004A0A91">
                <w:pPr>
                  <w:spacing w:after="60"/>
                  <w:rPr>
                    <w:rFonts w:ascii="Arial" w:hAnsi="Arial" w:cs="Arial"/>
                    <w:sz w:val="18"/>
                    <w:szCs w:val="18"/>
                    <w:lang w:val="es-ES_tradnl"/>
                  </w:rPr>
                </w:pPr>
                <w:r w:rsidRPr="004A0A91">
                  <w:rPr>
                    <w:rFonts w:ascii="Arial" w:hAnsi="Arial" w:cs="Arial"/>
                    <w:sz w:val="18"/>
                    <w:szCs w:val="18"/>
                  </w:rPr>
                  <w:t>US$100,000.00 (In-Kind)</w:t>
                </w:r>
              </w:p>
            </w:tc>
          </w:sdtContent>
        </w:sdt>
      </w:tr>
      <w:tr w:rsidR="00825F8B" w:rsidRPr="00B811D8" w14:paraId="3BBAB1E2" w14:textId="77777777" w:rsidTr="27DF31B5">
        <w:tc>
          <w:tcPr>
            <w:tcW w:w="3456" w:type="dxa"/>
          </w:tcPr>
          <w:p w14:paraId="3BBAB1E0" w14:textId="77777777" w:rsidR="00825F8B" w:rsidRPr="000F744C" w:rsidRDefault="00825F8B" w:rsidP="00825F8B">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Disbursement period (which includes Execution period):</w:t>
            </w:r>
          </w:p>
        </w:tc>
        <w:tc>
          <w:tcPr>
            <w:tcW w:w="6084" w:type="dxa"/>
          </w:tcPr>
          <w:p w14:paraId="3BBAB1E1" w14:textId="2DEFE836" w:rsidR="00825F8B" w:rsidRPr="00F45E82" w:rsidRDefault="000D06FC" w:rsidP="00825F8B">
            <w:pPr>
              <w:tabs>
                <w:tab w:val="left" w:pos="3675"/>
              </w:tabs>
              <w:spacing w:after="60"/>
              <w:rPr>
                <w:rFonts w:ascii="Arial" w:eastAsia="Arial" w:hAnsi="Arial" w:cs="Arial"/>
                <w:sz w:val="18"/>
                <w:szCs w:val="18"/>
              </w:rPr>
            </w:pPr>
            <w:r>
              <w:rPr>
                <w:rFonts w:ascii="Arial" w:eastAsia="Arial" w:hAnsi="Arial" w:cs="Arial"/>
                <w:sz w:val="18"/>
                <w:szCs w:val="18"/>
              </w:rPr>
              <w:t>39 months</w:t>
            </w:r>
          </w:p>
        </w:tc>
      </w:tr>
      <w:tr w:rsidR="00825F8B" w:rsidRPr="00B811D8" w14:paraId="3BBAB1E5" w14:textId="77777777" w:rsidTr="27DF31B5">
        <w:tc>
          <w:tcPr>
            <w:tcW w:w="3456" w:type="dxa"/>
          </w:tcPr>
          <w:p w14:paraId="3BBAB1E3" w14:textId="4F4BDB48" w:rsidR="00825F8B" w:rsidRPr="000F744C" w:rsidRDefault="00825F8B" w:rsidP="00825F8B">
            <w:pPr>
              <w:pStyle w:val="Prrafodelista"/>
              <w:numPr>
                <w:ilvl w:val="0"/>
                <w:numId w:val="2"/>
              </w:numPr>
              <w:spacing w:after="60"/>
              <w:ind w:left="180" w:hanging="180"/>
              <w:contextualSpacing w:val="0"/>
              <w:jc w:val="both"/>
              <w:rPr>
                <w:rFonts w:ascii="Arial" w:eastAsia="Arial" w:hAnsi="Arial" w:cs="Arial"/>
                <w:sz w:val="18"/>
                <w:szCs w:val="18"/>
              </w:rPr>
            </w:pPr>
            <w:r>
              <w:rPr>
                <w:rFonts w:ascii="Arial" w:eastAsia="Arial" w:hAnsi="Arial" w:cs="Arial"/>
                <w:sz w:val="18"/>
                <w:szCs w:val="18"/>
              </w:rPr>
              <w:t>Required start date:</w:t>
            </w:r>
          </w:p>
        </w:tc>
        <w:tc>
          <w:tcPr>
            <w:tcW w:w="6084" w:type="dxa"/>
          </w:tcPr>
          <w:p w14:paraId="3BBAB1E4" w14:textId="46EAACD2" w:rsidR="00825F8B" w:rsidRPr="00B811D8" w:rsidRDefault="000D06FC" w:rsidP="00825F8B">
            <w:pPr>
              <w:tabs>
                <w:tab w:val="left" w:pos="3460"/>
                <w:tab w:val="left" w:pos="4900"/>
              </w:tabs>
              <w:spacing w:after="60"/>
              <w:rPr>
                <w:rFonts w:ascii="Arial" w:eastAsia="Arial" w:hAnsi="Arial" w:cs="Arial"/>
                <w:sz w:val="18"/>
                <w:szCs w:val="18"/>
                <w:lang w:val="es-ES"/>
              </w:rPr>
            </w:pPr>
            <w:proofErr w:type="spellStart"/>
            <w:r>
              <w:rPr>
                <w:rFonts w:ascii="Arial" w:eastAsia="Arial" w:hAnsi="Arial" w:cs="Arial"/>
                <w:sz w:val="18"/>
                <w:szCs w:val="18"/>
                <w:lang w:val="es-ES"/>
              </w:rPr>
              <w:t>January</w:t>
            </w:r>
            <w:proofErr w:type="spellEnd"/>
            <w:r>
              <w:rPr>
                <w:rFonts w:ascii="Arial" w:eastAsia="Arial" w:hAnsi="Arial" w:cs="Arial"/>
                <w:sz w:val="18"/>
                <w:szCs w:val="18"/>
                <w:lang w:val="es-ES"/>
              </w:rPr>
              <w:t xml:space="preserve"> </w:t>
            </w:r>
            <w:r w:rsidR="00016C89">
              <w:rPr>
                <w:rFonts w:ascii="Arial" w:eastAsia="Arial" w:hAnsi="Arial" w:cs="Arial"/>
                <w:sz w:val="18"/>
                <w:szCs w:val="18"/>
                <w:lang w:val="es-ES"/>
              </w:rPr>
              <w:t>2025</w:t>
            </w:r>
          </w:p>
        </w:tc>
      </w:tr>
      <w:tr w:rsidR="00825F8B" w:rsidRPr="00B811D8" w14:paraId="3BBAB1E8" w14:textId="77777777" w:rsidTr="27DF31B5">
        <w:tc>
          <w:tcPr>
            <w:tcW w:w="3456" w:type="dxa"/>
          </w:tcPr>
          <w:p w14:paraId="3BBAB1E6" w14:textId="4C78BE9A" w:rsidR="00825F8B" w:rsidRPr="000F744C" w:rsidRDefault="00825F8B" w:rsidP="00825F8B">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Types of consultants:</w:t>
            </w:r>
          </w:p>
        </w:tc>
        <w:tc>
          <w:tcPr>
            <w:tcW w:w="6084" w:type="dxa"/>
          </w:tcPr>
          <w:p w14:paraId="3BBAB1E7" w14:textId="1A87A4FB" w:rsidR="00825F8B" w:rsidRPr="009D0331" w:rsidRDefault="009D0331" w:rsidP="00825F8B">
            <w:pPr>
              <w:tabs>
                <w:tab w:val="left" w:pos="3536"/>
                <w:tab w:val="left" w:pos="4900"/>
              </w:tabs>
              <w:spacing w:after="60"/>
              <w:rPr>
                <w:rFonts w:ascii="Arial" w:eastAsia="Arial" w:hAnsi="Arial" w:cs="Arial"/>
                <w:sz w:val="18"/>
                <w:szCs w:val="18"/>
              </w:rPr>
            </w:pPr>
            <w:r w:rsidRPr="00F92E6A">
              <w:rPr>
                <w:rFonts w:ascii="Arial" w:eastAsia="Arial" w:hAnsi="Arial" w:cs="Arial"/>
                <w:sz w:val="18"/>
                <w:szCs w:val="18"/>
              </w:rPr>
              <w:t>Individual consultants and consulting f</w:t>
            </w:r>
            <w:r>
              <w:rPr>
                <w:rFonts w:ascii="Arial" w:eastAsia="Arial" w:hAnsi="Arial" w:cs="Arial"/>
                <w:sz w:val="18"/>
                <w:szCs w:val="18"/>
              </w:rPr>
              <w:t>irms</w:t>
            </w:r>
          </w:p>
        </w:tc>
      </w:tr>
      <w:tr w:rsidR="009F33FF" w:rsidRPr="00B811D8" w14:paraId="3BBAB1EB" w14:textId="77777777" w:rsidTr="27DF31B5">
        <w:tc>
          <w:tcPr>
            <w:tcW w:w="3456" w:type="dxa"/>
          </w:tcPr>
          <w:p w14:paraId="3BBAB1E9" w14:textId="77777777" w:rsidR="009F33FF" w:rsidRPr="000F744C" w:rsidRDefault="009F33FF"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Prepared by Unit:</w:t>
            </w:r>
          </w:p>
        </w:tc>
        <w:sdt>
          <w:sdtPr>
            <w:rPr>
              <w:rFonts w:ascii="Arial" w:hAnsi="Arial" w:cs="Arial"/>
              <w:sz w:val="18"/>
              <w:szCs w:val="18"/>
            </w:rPr>
            <w:alias w:val="UNIT"/>
            <w:tag w:val="UNIT"/>
            <w:id w:val="350455193"/>
            <w:lock w:val="sdtContentLocked"/>
            <w:placeholder>
              <w:docPart w:val="B5025FA864254B32A998D1BB8022EDC4"/>
            </w:placeholder>
            <w:showingPlcHdr/>
            <w:text/>
          </w:sdtPr>
          <w:sdtEndPr/>
          <w:sdtContent>
            <w:tc>
              <w:tcPr>
                <w:tcW w:w="6084" w:type="dxa"/>
              </w:tcPr>
              <w:p w14:paraId="3BBAB1EA" w14:textId="76C265D0" w:rsidR="009F33FF" w:rsidRPr="00B811D8" w:rsidRDefault="00EC6CAF" w:rsidP="00EC6CAF">
                <w:pPr>
                  <w:tabs>
                    <w:tab w:val="left" w:pos="3772"/>
                  </w:tabs>
                  <w:spacing w:after="60"/>
                  <w:rPr>
                    <w:rFonts w:ascii="Arial" w:hAnsi="Arial" w:cs="Arial"/>
                    <w:sz w:val="18"/>
                    <w:szCs w:val="18"/>
                    <w:lang w:val="es-ES_tradnl"/>
                  </w:rPr>
                </w:pPr>
                <w:r>
                  <w:rPr>
                    <w:rFonts w:ascii="Arial" w:hAnsi="Arial" w:cs="Arial"/>
                    <w:sz w:val="18"/>
                    <w:szCs w:val="18"/>
                  </w:rPr>
                  <w:t>INE/WSA-Water &amp; Sanitation</w:t>
                </w:r>
              </w:p>
            </w:tc>
          </w:sdtContent>
        </w:sdt>
      </w:tr>
      <w:tr w:rsidR="009F33FF" w:rsidRPr="00B811D8" w14:paraId="3BBAB1EE" w14:textId="77777777" w:rsidTr="27DF31B5">
        <w:tc>
          <w:tcPr>
            <w:tcW w:w="3456" w:type="dxa"/>
          </w:tcPr>
          <w:p w14:paraId="3BBAB1EC" w14:textId="77777777" w:rsidR="009F33FF" w:rsidRPr="000F744C" w:rsidRDefault="009F33FF" w:rsidP="26B9D784">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Unit of Disbursement Responsibility:</w:t>
            </w:r>
          </w:p>
        </w:tc>
        <w:sdt>
          <w:sdtPr>
            <w:rPr>
              <w:rFonts w:ascii="Arial" w:hAnsi="Arial" w:cs="Arial"/>
              <w:sz w:val="18"/>
              <w:szCs w:val="18"/>
            </w:rPr>
            <w:alias w:val="UNIT_DISBUR"/>
            <w:tag w:val="UNIT_DISBUR"/>
            <w:id w:val="-1723972663"/>
            <w:lock w:val="sdtContentLocked"/>
            <w:placeholder>
              <w:docPart w:val="4448204930944A64B2C249B7F2A3DD18"/>
            </w:placeholder>
            <w:showingPlcHdr/>
          </w:sdtPr>
          <w:sdtEndPr/>
          <w:sdtContent>
            <w:tc>
              <w:tcPr>
                <w:tcW w:w="6084" w:type="dxa"/>
              </w:tcPr>
              <w:p w14:paraId="3BBAB1ED" w14:textId="4D9FCC7F" w:rsidR="009F33FF" w:rsidRPr="00B811D8" w:rsidRDefault="00EC6CAF" w:rsidP="00EC6CAF">
                <w:pPr>
                  <w:tabs>
                    <w:tab w:val="left" w:pos="3772"/>
                  </w:tabs>
                  <w:spacing w:after="60"/>
                  <w:rPr>
                    <w:rFonts w:ascii="Arial" w:hAnsi="Arial" w:cs="Arial"/>
                    <w:sz w:val="18"/>
                    <w:szCs w:val="18"/>
                    <w:lang w:val="es-ES_tradnl"/>
                  </w:rPr>
                </w:pPr>
                <w:r>
                  <w:rPr>
                    <w:rFonts w:ascii="Arial" w:hAnsi="Arial" w:cs="Arial"/>
                    <w:sz w:val="18"/>
                    <w:szCs w:val="18"/>
                  </w:rPr>
                  <w:t>INE/WSA-Water &amp; Sanitation</w:t>
                </w:r>
              </w:p>
            </w:tc>
          </w:sdtContent>
        </w:sdt>
      </w:tr>
      <w:tr w:rsidR="00825F8B" w:rsidRPr="00B811D8" w14:paraId="3BBAB1F1" w14:textId="77777777" w:rsidTr="27DF31B5">
        <w:tc>
          <w:tcPr>
            <w:tcW w:w="3456" w:type="dxa"/>
          </w:tcPr>
          <w:p w14:paraId="3BBAB1EF" w14:textId="7D762BA4" w:rsidR="00825F8B" w:rsidRPr="000F744C" w:rsidRDefault="00825F8B" w:rsidP="00825F8B">
            <w:pPr>
              <w:pStyle w:val="Prrafodelista"/>
              <w:numPr>
                <w:ilvl w:val="0"/>
                <w:numId w:val="2"/>
              </w:numPr>
              <w:spacing w:after="60"/>
              <w:ind w:left="180" w:hanging="180"/>
              <w:contextualSpacing w:val="0"/>
              <w:jc w:val="both"/>
              <w:rPr>
                <w:rFonts w:ascii="Arial" w:eastAsia="Arial" w:hAnsi="Arial" w:cs="Arial"/>
                <w:sz w:val="18"/>
                <w:szCs w:val="18"/>
              </w:rPr>
            </w:pPr>
            <w:r>
              <w:rPr>
                <w:rFonts w:ascii="Arial" w:eastAsia="Arial" w:hAnsi="Arial" w:cs="Arial"/>
                <w:sz w:val="18"/>
                <w:szCs w:val="18"/>
              </w:rPr>
              <w:t>TC i</w:t>
            </w:r>
            <w:r w:rsidRPr="26B9D784">
              <w:rPr>
                <w:rFonts w:ascii="Arial" w:eastAsia="Arial" w:hAnsi="Arial" w:cs="Arial"/>
                <w:sz w:val="18"/>
                <w:szCs w:val="18"/>
              </w:rPr>
              <w:t xml:space="preserve">ncluded in Country Strategy (y/n): </w:t>
            </w:r>
          </w:p>
        </w:tc>
        <w:tc>
          <w:tcPr>
            <w:tcW w:w="6084" w:type="dxa"/>
          </w:tcPr>
          <w:p w14:paraId="3BBAB1F0" w14:textId="5072AB96" w:rsidR="00825F8B" w:rsidRPr="00F45E82" w:rsidRDefault="00212E32" w:rsidP="00825F8B">
            <w:pPr>
              <w:tabs>
                <w:tab w:val="left" w:pos="3976"/>
              </w:tabs>
              <w:spacing w:after="60"/>
              <w:rPr>
                <w:rFonts w:ascii="Arial" w:eastAsia="Arial" w:hAnsi="Arial" w:cs="Arial"/>
                <w:sz w:val="18"/>
                <w:szCs w:val="18"/>
              </w:rPr>
            </w:pPr>
            <w:r>
              <w:rPr>
                <w:rFonts w:ascii="Arial" w:eastAsia="Arial" w:hAnsi="Arial" w:cs="Arial"/>
                <w:sz w:val="18"/>
                <w:szCs w:val="18"/>
              </w:rPr>
              <w:t>No</w:t>
            </w:r>
          </w:p>
        </w:tc>
      </w:tr>
      <w:tr w:rsidR="00825F8B" w:rsidRPr="00B811D8" w14:paraId="3BBAB1F4" w14:textId="77777777" w:rsidTr="27DF31B5">
        <w:tc>
          <w:tcPr>
            <w:tcW w:w="3456" w:type="dxa"/>
          </w:tcPr>
          <w:p w14:paraId="3BBAB1F2" w14:textId="77777777" w:rsidR="00825F8B" w:rsidRPr="000F744C" w:rsidRDefault="00825F8B" w:rsidP="00825F8B">
            <w:pPr>
              <w:pStyle w:val="Prrafodelista"/>
              <w:numPr>
                <w:ilvl w:val="0"/>
                <w:numId w:val="2"/>
              </w:numPr>
              <w:spacing w:after="60"/>
              <w:ind w:left="180" w:hanging="180"/>
              <w:contextualSpacing w:val="0"/>
              <w:jc w:val="both"/>
              <w:rPr>
                <w:rFonts w:ascii="Arial" w:eastAsia="Arial" w:hAnsi="Arial" w:cs="Arial"/>
                <w:sz w:val="18"/>
                <w:szCs w:val="18"/>
              </w:rPr>
            </w:pPr>
            <w:r w:rsidRPr="26B9D784">
              <w:rPr>
                <w:rFonts w:ascii="Arial" w:eastAsia="Arial" w:hAnsi="Arial" w:cs="Arial"/>
                <w:sz w:val="18"/>
                <w:szCs w:val="18"/>
              </w:rPr>
              <w:t>TC included in CPD (y/n):</w:t>
            </w:r>
          </w:p>
        </w:tc>
        <w:tc>
          <w:tcPr>
            <w:tcW w:w="6084" w:type="dxa"/>
          </w:tcPr>
          <w:p w14:paraId="3BBAB1F3" w14:textId="1CB1356D" w:rsidR="00825F8B" w:rsidRPr="00F45E82" w:rsidRDefault="00212E32" w:rsidP="00825F8B">
            <w:pPr>
              <w:tabs>
                <w:tab w:val="left" w:pos="3439"/>
                <w:tab w:val="left" w:pos="4578"/>
              </w:tabs>
              <w:spacing w:after="60"/>
              <w:rPr>
                <w:rFonts w:ascii="Arial" w:eastAsia="Arial" w:hAnsi="Arial" w:cs="Arial"/>
                <w:sz w:val="18"/>
                <w:szCs w:val="18"/>
              </w:rPr>
            </w:pPr>
            <w:r>
              <w:rPr>
                <w:rFonts w:ascii="Arial" w:eastAsia="Arial" w:hAnsi="Arial" w:cs="Arial"/>
                <w:sz w:val="18"/>
                <w:szCs w:val="18"/>
              </w:rPr>
              <w:t>No</w:t>
            </w:r>
          </w:p>
        </w:tc>
      </w:tr>
      <w:tr w:rsidR="009F33FF" w:rsidRPr="00B811D8" w14:paraId="3BBAB1F7" w14:textId="77777777" w:rsidTr="27DF31B5">
        <w:tc>
          <w:tcPr>
            <w:tcW w:w="3456" w:type="dxa"/>
          </w:tcPr>
          <w:p w14:paraId="3BBAB1F5" w14:textId="4E6F1E2F" w:rsidR="009F33FF" w:rsidRPr="000F744C" w:rsidRDefault="007834E3" w:rsidP="26B9D784">
            <w:pPr>
              <w:pStyle w:val="Prrafodelista"/>
              <w:numPr>
                <w:ilvl w:val="0"/>
                <w:numId w:val="2"/>
              </w:numPr>
              <w:spacing w:after="60"/>
              <w:ind w:left="180" w:hanging="180"/>
              <w:contextualSpacing w:val="0"/>
              <w:jc w:val="both"/>
              <w:rPr>
                <w:rFonts w:ascii="Arial" w:eastAsia="Arial" w:hAnsi="Arial" w:cs="Arial"/>
                <w:sz w:val="18"/>
                <w:szCs w:val="18"/>
              </w:rPr>
            </w:pPr>
            <w:r w:rsidRPr="09A6227F">
              <w:rPr>
                <w:rFonts w:ascii="Arial" w:eastAsia="Arial" w:hAnsi="Arial" w:cs="Arial"/>
                <w:sz w:val="18"/>
                <w:szCs w:val="18"/>
              </w:rPr>
              <w:t xml:space="preserve">Alignment to the </w:t>
            </w:r>
            <w:r w:rsidRPr="00C00F4D">
              <w:rPr>
                <w:rFonts w:ascii="Arial" w:eastAsia="Arial" w:hAnsi="Arial" w:cs="Arial"/>
                <w:sz w:val="18"/>
                <w:szCs w:val="18"/>
              </w:rPr>
              <w:t>IDB Group’s Institutional Strategy</w:t>
            </w:r>
            <w:r w:rsidRPr="09A6227F">
              <w:rPr>
                <w:rFonts w:ascii="Arial" w:eastAsia="Arial" w:hAnsi="Arial" w:cs="Arial"/>
                <w:sz w:val="18"/>
                <w:szCs w:val="18"/>
              </w:rPr>
              <w:t>:</w:t>
            </w:r>
          </w:p>
        </w:tc>
        <w:sdt>
          <w:sdtPr>
            <w:rPr>
              <w:rFonts w:ascii="Arial" w:hAnsi="Arial" w:cs="Arial"/>
              <w:sz w:val="18"/>
              <w:szCs w:val="18"/>
            </w:rPr>
            <w:alias w:val="ALINGMENT"/>
            <w:tag w:val="ALINGMENT"/>
            <w:id w:val="-1710644844"/>
            <w:lock w:val="sdtContentLocked"/>
            <w:placeholder>
              <w:docPart w:val="EC373D0577C74A0BA432922C857A30A2"/>
            </w:placeholder>
            <w:showingPlcHdr/>
            <w:text/>
          </w:sdtPr>
          <w:sdtEndPr/>
          <w:sdtContent>
            <w:tc>
              <w:tcPr>
                <w:tcW w:w="6084" w:type="dxa"/>
              </w:tcPr>
              <w:p w14:paraId="3BBAB1F6" w14:textId="15245C4B" w:rsidR="009F33FF" w:rsidRPr="008311B5" w:rsidRDefault="008311B5" w:rsidP="00F45E82">
                <w:pPr>
                  <w:tabs>
                    <w:tab w:val="left" w:pos="3772"/>
                  </w:tabs>
                  <w:spacing w:after="60"/>
                  <w:rPr>
                    <w:rFonts w:ascii="Arial" w:hAnsi="Arial" w:cs="Arial"/>
                    <w:sz w:val="18"/>
                    <w:szCs w:val="18"/>
                  </w:rPr>
                </w:pPr>
                <w:r w:rsidRPr="008311B5">
                  <w:rPr>
                    <w:rFonts w:ascii="Arial" w:hAnsi="Arial" w:cs="Arial"/>
                    <w:sz w:val="18"/>
                    <w:szCs w:val="18"/>
                  </w:rPr>
                  <w:t>Increasing Resource Mobilization, Promoting Gender Equality, Diversity and Inclusion, Climate Change and Environmental Sustainability, Institutional Capacity and the Rule of Law</w:t>
                </w:r>
              </w:p>
            </w:tc>
          </w:sdtContent>
        </w:sdt>
      </w:tr>
    </w:tbl>
    <w:p w14:paraId="3BBAB1FA" w14:textId="72A69CD4" w:rsidR="00065D4D" w:rsidRPr="000F744C" w:rsidRDefault="0FBA85EA" w:rsidP="0FBA85EA">
      <w:pPr>
        <w:pStyle w:val="Prrafodelista"/>
        <w:numPr>
          <w:ilvl w:val="0"/>
          <w:numId w:val="5"/>
        </w:numPr>
        <w:spacing w:before="240" w:after="120" w:line="240" w:lineRule="auto"/>
        <w:contextualSpacing w:val="0"/>
        <w:rPr>
          <w:rFonts w:ascii="Arial" w:eastAsia="Arial" w:hAnsi="Arial" w:cs="Arial"/>
          <w:b/>
          <w:bCs/>
        </w:rPr>
      </w:pPr>
      <w:r w:rsidRPr="0FBA85EA">
        <w:rPr>
          <w:rFonts w:ascii="Arial" w:eastAsia="Arial" w:hAnsi="Arial" w:cs="Arial"/>
          <w:b/>
          <w:bCs/>
        </w:rPr>
        <w:t>Objectives and Justification of the TC</w:t>
      </w:r>
    </w:p>
    <w:p w14:paraId="3BBAB1FB" w14:textId="0B849B23" w:rsidR="00DF475D" w:rsidRPr="000F744C" w:rsidRDefault="00E31A75" w:rsidP="26B9D784">
      <w:pPr>
        <w:pStyle w:val="Prrafodelista"/>
        <w:numPr>
          <w:ilvl w:val="1"/>
          <w:numId w:val="5"/>
        </w:numPr>
        <w:spacing w:before="120" w:after="120" w:line="240" w:lineRule="auto"/>
        <w:ind w:hanging="540"/>
        <w:contextualSpacing w:val="0"/>
        <w:jc w:val="both"/>
        <w:rPr>
          <w:rFonts w:ascii="Arial" w:eastAsia="Arial" w:hAnsi="Arial" w:cs="Arial"/>
          <w:b/>
          <w:bCs/>
        </w:rPr>
      </w:pPr>
      <w:r w:rsidRPr="00E31A75">
        <w:rPr>
          <w:rFonts w:ascii="Arial" w:eastAsia="Arial" w:hAnsi="Arial" w:cs="Arial"/>
        </w:rPr>
        <w:t xml:space="preserve">The Technical Cooperation’s overall goal is to contribute to the improvement of the quality and sustainability of the urban water and sanitation services through the </w:t>
      </w:r>
      <w:r w:rsidRPr="00E31A75">
        <w:rPr>
          <w:rFonts w:ascii="Arial" w:eastAsia="Arial" w:hAnsi="Arial" w:cs="Arial"/>
        </w:rPr>
        <w:lastRenderedPageBreak/>
        <w:t>consolidation of the corporate development results in the water and sanitation sector in Colombia fostered by the operation “</w:t>
      </w:r>
      <w:hyperlink r:id="rId12" w:history="1">
        <w:r w:rsidRPr="0040053A">
          <w:rPr>
            <w:rStyle w:val="Hipervnculo"/>
            <w:rFonts w:ascii="Arial" w:eastAsia="Arial" w:hAnsi="Arial" w:cs="Arial"/>
          </w:rPr>
          <w:t>Comprehensive development Urban Water and Sewerage Companies in Colombia (CO-T1457) - phase I</w:t>
        </w:r>
      </w:hyperlink>
      <w:r w:rsidRPr="00E31A75">
        <w:rPr>
          <w:rFonts w:ascii="Arial" w:eastAsia="Arial" w:hAnsi="Arial" w:cs="Arial"/>
        </w:rPr>
        <w:t>”.</w:t>
      </w:r>
    </w:p>
    <w:p w14:paraId="3BBAB1FC" w14:textId="2658F171" w:rsidR="00953879" w:rsidRPr="000F744C" w:rsidRDefault="000F7F32" w:rsidP="26B9D784">
      <w:pPr>
        <w:pStyle w:val="Prrafodelista"/>
        <w:numPr>
          <w:ilvl w:val="1"/>
          <w:numId w:val="5"/>
        </w:numPr>
        <w:spacing w:before="120" w:after="120" w:line="240" w:lineRule="auto"/>
        <w:ind w:hanging="540"/>
        <w:contextualSpacing w:val="0"/>
        <w:jc w:val="both"/>
        <w:rPr>
          <w:rFonts w:ascii="Arial" w:eastAsia="Arial" w:hAnsi="Arial" w:cs="Arial"/>
        </w:rPr>
      </w:pPr>
      <w:r w:rsidRPr="000F7F32">
        <w:rPr>
          <w:rFonts w:ascii="Arial" w:eastAsia="Arial" w:hAnsi="Arial" w:cs="Arial"/>
        </w:rPr>
        <w:t>This is the second and last phase of CO-T1457</w:t>
      </w:r>
      <w:r w:rsidR="00463023">
        <w:rPr>
          <w:rStyle w:val="Refdenotaalpie"/>
          <w:rFonts w:ascii="Arial" w:eastAsia="Arial" w:hAnsi="Arial" w:cs="Arial"/>
        </w:rPr>
        <w:footnoteReference w:id="4"/>
      </w:r>
      <w:r w:rsidRPr="000F7F32">
        <w:rPr>
          <w:rFonts w:ascii="Arial" w:eastAsia="Arial" w:hAnsi="Arial" w:cs="Arial"/>
        </w:rPr>
        <w:t>, a PSG financed by the Swiss State Secretariat for Economic Affairs (SECO) and executed by the IDB between 2017 and 2024 (USD 15.5 million), and will be based on the achievements obtained and lessons learned during the implementation of corporate development in urban water and sanitation utilities in Colombia through phase I.</w:t>
      </w:r>
    </w:p>
    <w:p w14:paraId="3BBAB1FD" w14:textId="079A7EEE" w:rsidR="0087190C" w:rsidRPr="000F744C" w:rsidRDefault="008D1037" w:rsidP="26B9D784">
      <w:pPr>
        <w:pStyle w:val="Prrafodelista"/>
        <w:numPr>
          <w:ilvl w:val="1"/>
          <w:numId w:val="5"/>
        </w:numPr>
        <w:spacing w:before="120" w:after="120" w:line="240" w:lineRule="auto"/>
        <w:ind w:hanging="540"/>
        <w:contextualSpacing w:val="0"/>
        <w:jc w:val="both"/>
        <w:rPr>
          <w:rFonts w:ascii="Arial" w:eastAsia="Arial" w:hAnsi="Arial" w:cs="Arial"/>
        </w:rPr>
      </w:pPr>
      <w:r w:rsidRPr="008D1037">
        <w:rPr>
          <w:rFonts w:ascii="Arial" w:eastAsia="Arial" w:hAnsi="Arial" w:cs="Arial"/>
        </w:rPr>
        <w:t>Colombia's admission to the Organization for Economic Co-operation and Development (OECD) in April 2020 represents a challenge, as corporate development improvements are expected, particularly in corporate governance, fiscal discipline, effective stakeholders’ management, and the adoption of rigorous public management norms. In the provision of water and sanitation services, issues regarding efficiency, service quality, innovation, and financial and environmental sustainability are of great importance.</w:t>
      </w:r>
    </w:p>
    <w:p w14:paraId="3BBAB1FE" w14:textId="386B189A" w:rsidR="0095711B" w:rsidRDefault="004C6883" w:rsidP="26B9D784">
      <w:pPr>
        <w:pStyle w:val="Prrafodelista"/>
        <w:numPr>
          <w:ilvl w:val="1"/>
          <w:numId w:val="5"/>
        </w:numPr>
        <w:spacing w:before="120" w:after="120" w:line="240" w:lineRule="auto"/>
        <w:ind w:hanging="540"/>
        <w:contextualSpacing w:val="0"/>
        <w:jc w:val="both"/>
        <w:rPr>
          <w:rFonts w:ascii="Arial" w:eastAsia="Arial" w:hAnsi="Arial" w:cs="Arial"/>
        </w:rPr>
      </w:pPr>
      <w:r w:rsidRPr="004C6883">
        <w:rPr>
          <w:rFonts w:ascii="Arial" w:eastAsia="Arial" w:hAnsi="Arial" w:cs="Arial"/>
        </w:rPr>
        <w:t xml:space="preserve">Phase I, in line with OECD principles, contributed to improve water and sanitation utilities performance, </w:t>
      </w:r>
      <w:proofErr w:type="gramStart"/>
      <w:r w:rsidRPr="004C6883">
        <w:rPr>
          <w:rFonts w:ascii="Arial" w:eastAsia="Arial" w:hAnsi="Arial" w:cs="Arial"/>
        </w:rPr>
        <w:t>in order to</w:t>
      </w:r>
      <w:proofErr w:type="gramEnd"/>
      <w:r w:rsidRPr="004C6883">
        <w:rPr>
          <w:rFonts w:ascii="Arial" w:eastAsia="Arial" w:hAnsi="Arial" w:cs="Arial"/>
        </w:rPr>
        <w:t xml:space="preserve"> strengthen their capacity for planning, executing and operating infrastructure in an efficient and sustainable way and in the end, provide a better service. </w:t>
      </w:r>
      <w:r w:rsidR="005C781B">
        <w:rPr>
          <w:rFonts w:ascii="Arial" w:eastAsia="Arial" w:hAnsi="Arial" w:cs="Arial"/>
        </w:rPr>
        <w:t>Also, t</w:t>
      </w:r>
      <w:r w:rsidRPr="004C6883">
        <w:rPr>
          <w:rFonts w:ascii="Arial" w:eastAsia="Arial" w:hAnsi="Arial" w:cs="Arial"/>
        </w:rPr>
        <w:t xml:space="preserve">echnical support was provided </w:t>
      </w:r>
      <w:r w:rsidR="000800CF">
        <w:rPr>
          <w:rFonts w:ascii="Arial" w:eastAsia="Arial" w:hAnsi="Arial" w:cs="Arial"/>
        </w:rPr>
        <w:t xml:space="preserve">in phase I </w:t>
      </w:r>
      <w:r w:rsidRPr="004C6883">
        <w:rPr>
          <w:rFonts w:ascii="Arial" w:eastAsia="Arial" w:hAnsi="Arial" w:cs="Arial"/>
        </w:rPr>
        <w:t>for the incorporation of international standards and good practices in 12 key areas</w:t>
      </w:r>
      <w:r w:rsidR="00A9508E">
        <w:rPr>
          <w:rStyle w:val="Refdenotaalpie"/>
          <w:rFonts w:ascii="Arial" w:eastAsia="Arial" w:hAnsi="Arial" w:cs="Arial"/>
        </w:rPr>
        <w:footnoteReference w:id="5"/>
      </w:r>
      <w:r w:rsidRPr="004C6883">
        <w:rPr>
          <w:rFonts w:ascii="Arial" w:eastAsia="Arial" w:hAnsi="Arial" w:cs="Arial"/>
        </w:rPr>
        <w:t>. The progress was significant, as when comparing the initial performance evaluation of 18 utilities with the final one (using AquaRating</w:t>
      </w:r>
      <w:r w:rsidR="00F55292">
        <w:rPr>
          <w:rStyle w:val="Refdenotaalpie"/>
          <w:rFonts w:ascii="Arial" w:eastAsia="Arial" w:hAnsi="Arial" w:cs="Arial"/>
        </w:rPr>
        <w:footnoteReference w:id="6"/>
      </w:r>
      <w:r w:rsidRPr="004C6883">
        <w:rPr>
          <w:rFonts w:ascii="Arial" w:eastAsia="Arial" w:hAnsi="Arial" w:cs="Arial"/>
        </w:rPr>
        <w:t xml:space="preserve">), after having implemented the corporate development actions, utilities improved their rating by 19% on average, with a significant impact in the quality of service and operating efficiency. The initial goal was to improve the corporate development of 10 water utilities. However, due to high interest and strong engagement, the cooperation expanded to include 35 utilities benefiting 32 million Colombians. A third-party evaluation in 2023 highlighted that phase I main achievement was shifting the focus from just building infrastructure to enhancing corporate development in Colombia's urban water and sanitation sector. In its first phase, the CO-T1457 helped utilities improve by addressing inefficiencies, bottlenecks, service quality, and has up-skilled more than a thousand professionals.   </w:t>
      </w:r>
    </w:p>
    <w:p w14:paraId="187B2BBB" w14:textId="5D68A98E" w:rsidR="00392E58" w:rsidRDefault="00392E58" w:rsidP="26B9D784">
      <w:pPr>
        <w:pStyle w:val="Prrafodelista"/>
        <w:numPr>
          <w:ilvl w:val="1"/>
          <w:numId w:val="5"/>
        </w:numPr>
        <w:spacing w:before="120" w:after="120" w:line="240" w:lineRule="auto"/>
        <w:ind w:hanging="540"/>
        <w:contextualSpacing w:val="0"/>
        <w:jc w:val="both"/>
        <w:rPr>
          <w:rFonts w:ascii="Arial" w:eastAsia="Arial" w:hAnsi="Arial" w:cs="Arial"/>
        </w:rPr>
      </w:pPr>
      <w:r w:rsidRPr="00392E58">
        <w:rPr>
          <w:rFonts w:ascii="Arial" w:eastAsia="Arial" w:hAnsi="Arial" w:cs="Arial"/>
        </w:rPr>
        <w:t xml:space="preserve">Nevertheless, significant challenges </w:t>
      </w:r>
      <w:proofErr w:type="gramStart"/>
      <w:r w:rsidRPr="00392E58">
        <w:rPr>
          <w:rFonts w:ascii="Arial" w:eastAsia="Arial" w:hAnsi="Arial" w:cs="Arial"/>
        </w:rPr>
        <w:t>still remain</w:t>
      </w:r>
      <w:proofErr w:type="gramEnd"/>
      <w:r w:rsidRPr="00392E58">
        <w:rPr>
          <w:rFonts w:ascii="Arial" w:eastAsia="Arial" w:hAnsi="Arial" w:cs="Arial"/>
        </w:rPr>
        <w:t xml:space="preserve"> in the sector. Coverage and water quality gaps are still prominent as well as challenges in reducing the risk of water insecurity. According to the Joint Monitoring </w:t>
      </w:r>
      <w:proofErr w:type="spellStart"/>
      <w:r w:rsidRPr="00392E58">
        <w:rPr>
          <w:rFonts w:ascii="Arial" w:eastAsia="Arial" w:hAnsi="Arial" w:cs="Arial"/>
        </w:rPr>
        <w:t>Programme</w:t>
      </w:r>
      <w:proofErr w:type="spellEnd"/>
      <w:r w:rsidRPr="00392E58">
        <w:rPr>
          <w:rFonts w:ascii="Arial" w:eastAsia="Arial" w:hAnsi="Arial" w:cs="Arial"/>
        </w:rPr>
        <w:t xml:space="preserve"> (UNICEF &amp; WHO)</w:t>
      </w:r>
      <w:r w:rsidR="000800CF">
        <w:rPr>
          <w:rStyle w:val="Refdenotaalpie"/>
          <w:rFonts w:ascii="Arial" w:eastAsia="Arial" w:hAnsi="Arial" w:cs="Arial"/>
        </w:rPr>
        <w:footnoteReference w:id="7"/>
      </w:r>
      <w:r w:rsidRPr="00392E58">
        <w:rPr>
          <w:rFonts w:ascii="Arial" w:eastAsia="Arial" w:hAnsi="Arial" w:cs="Arial"/>
        </w:rPr>
        <w:t>, in 2022, still 26% of Colombia’s population did not have access to</w:t>
      </w:r>
      <w:r w:rsidR="003D5620">
        <w:rPr>
          <w:rFonts w:ascii="Arial" w:eastAsia="Arial" w:hAnsi="Arial" w:cs="Arial"/>
        </w:rPr>
        <w:t xml:space="preserve"> safely managed</w:t>
      </w:r>
      <w:r w:rsidRPr="00392E58">
        <w:rPr>
          <w:rFonts w:ascii="Arial" w:eastAsia="Arial" w:hAnsi="Arial" w:cs="Arial"/>
        </w:rPr>
        <w:t xml:space="preserve"> water</w:t>
      </w:r>
      <w:r w:rsidR="003D5620">
        <w:rPr>
          <w:rStyle w:val="Refdenotaalpie"/>
          <w:rFonts w:ascii="Arial" w:eastAsia="Arial" w:hAnsi="Arial" w:cs="Arial"/>
        </w:rPr>
        <w:footnoteReference w:id="8"/>
      </w:r>
      <w:r w:rsidRPr="00392E58">
        <w:rPr>
          <w:rFonts w:ascii="Arial" w:eastAsia="Arial" w:hAnsi="Arial" w:cs="Arial"/>
        </w:rPr>
        <w:t xml:space="preserve"> and 82% did not have access to safely managed sanitation</w:t>
      </w:r>
      <w:r w:rsidR="00F20B47">
        <w:rPr>
          <w:rStyle w:val="Refdenotaalpie"/>
          <w:rFonts w:ascii="Arial" w:eastAsia="Arial" w:hAnsi="Arial" w:cs="Arial"/>
        </w:rPr>
        <w:footnoteReference w:id="9"/>
      </w:r>
      <w:r w:rsidRPr="00392E58">
        <w:rPr>
          <w:rFonts w:ascii="Arial" w:eastAsia="Arial" w:hAnsi="Arial" w:cs="Arial"/>
        </w:rPr>
        <w:t xml:space="preserve">. As reported by the OECD in 2021, in Colombia still more than one third of the population lives under water stress </w:t>
      </w:r>
      <w:r w:rsidRPr="00392E58">
        <w:rPr>
          <w:rFonts w:ascii="Arial" w:eastAsia="Arial" w:hAnsi="Arial" w:cs="Arial"/>
        </w:rPr>
        <w:lastRenderedPageBreak/>
        <w:t>due to disparities in its availability. The sector still suffers from serious challenges, such as high non-revenue-water rates, the low reliability and quality of the information provided by the utilities, the need for investments in science, infrastructure, technology and innovation activities, and the funding gap</w:t>
      </w:r>
      <w:r>
        <w:rPr>
          <w:rStyle w:val="Refdenotaalpie"/>
          <w:rFonts w:ascii="Arial" w:eastAsia="Arial" w:hAnsi="Arial" w:cs="Arial"/>
        </w:rPr>
        <w:footnoteReference w:id="10"/>
      </w:r>
      <w:r w:rsidR="0082663B">
        <w:rPr>
          <w:rFonts w:ascii="Arial" w:eastAsia="Arial" w:hAnsi="Arial" w:cs="Arial"/>
        </w:rPr>
        <w:t>.</w:t>
      </w:r>
    </w:p>
    <w:p w14:paraId="26AEAB9E" w14:textId="74359BD6" w:rsidR="0082663B" w:rsidRDefault="0082663B" w:rsidP="26B9D784">
      <w:pPr>
        <w:pStyle w:val="Prrafodelista"/>
        <w:numPr>
          <w:ilvl w:val="1"/>
          <w:numId w:val="5"/>
        </w:numPr>
        <w:spacing w:before="120" w:after="120" w:line="240" w:lineRule="auto"/>
        <w:ind w:hanging="540"/>
        <w:contextualSpacing w:val="0"/>
        <w:jc w:val="both"/>
        <w:rPr>
          <w:rFonts w:ascii="Arial" w:eastAsia="Arial" w:hAnsi="Arial" w:cs="Arial"/>
        </w:rPr>
      </w:pPr>
      <w:r w:rsidRPr="0082663B">
        <w:rPr>
          <w:rFonts w:ascii="Arial" w:eastAsia="Arial" w:hAnsi="Arial" w:cs="Arial"/>
        </w:rPr>
        <w:t>Also, for the sustainability of the support provided in Phase I, the following challenges persist: i) the sector lacks an actor that guarantees the continuity of achievements, and lessons learned obtained in phase I and foster corporate development principles, ii) there is a persistent disruption to the business strengthening processes due to changes in national and municipal authorities every four years, causing high turnover rates at the corporate level (i.e. managers and boards of directors), iii) the knowledge and lessons learned generated benefited mostly utilities that participated in phase I and have not yet fully become public goods because they have not been made widely available to the sector at large, and iv) quality and accessibility of water sectoral knowledge is lacking; all of the above affects the sustainability and corporate development in water utilities.</w:t>
      </w:r>
    </w:p>
    <w:p w14:paraId="5A7A10C6" w14:textId="72D031EC" w:rsidR="008A3276" w:rsidRDefault="008A3276" w:rsidP="26B9D784">
      <w:pPr>
        <w:pStyle w:val="Prrafodelista"/>
        <w:numPr>
          <w:ilvl w:val="1"/>
          <w:numId w:val="5"/>
        </w:numPr>
        <w:spacing w:before="120" w:after="120" w:line="240" w:lineRule="auto"/>
        <w:ind w:hanging="540"/>
        <w:contextualSpacing w:val="0"/>
        <w:jc w:val="both"/>
        <w:rPr>
          <w:rFonts w:ascii="Arial" w:eastAsia="Arial" w:hAnsi="Arial" w:cs="Arial"/>
        </w:rPr>
      </w:pPr>
      <w:r w:rsidRPr="008A3276">
        <w:rPr>
          <w:rFonts w:ascii="Arial" w:eastAsia="Arial" w:hAnsi="Arial" w:cs="Arial"/>
        </w:rPr>
        <w:t xml:space="preserve">Additionally, corporate development challenges persist at a systemic level, and it is imperative that more operators integrate in their DNA activities and processes to enhance and sustain technical and </w:t>
      </w:r>
      <w:proofErr w:type="spellStart"/>
      <w:r w:rsidRPr="008A3276">
        <w:rPr>
          <w:rFonts w:ascii="Arial" w:eastAsia="Arial" w:hAnsi="Arial" w:cs="Arial"/>
        </w:rPr>
        <w:t>organisational</w:t>
      </w:r>
      <w:proofErr w:type="spellEnd"/>
      <w:r w:rsidRPr="008A3276">
        <w:rPr>
          <w:rFonts w:ascii="Arial" w:eastAsia="Arial" w:hAnsi="Arial" w:cs="Arial"/>
        </w:rPr>
        <w:t xml:space="preserve"> capacities and provide a better service. Fortunately, there is an increasing demand across water utilities for knowledge to implement better business practices. The second phase proposed will increase scale and will reach underserved markets (mainly smaller water and sanitation utilities), as well as, to generate knowledge transfer with national and regional outreach.</w:t>
      </w:r>
    </w:p>
    <w:p w14:paraId="32CAF817" w14:textId="5C7FC203" w:rsidR="00DD5ABE" w:rsidRDefault="00DD5ABE" w:rsidP="26B9D784">
      <w:pPr>
        <w:pStyle w:val="Prrafodelista"/>
        <w:numPr>
          <w:ilvl w:val="1"/>
          <w:numId w:val="5"/>
        </w:numPr>
        <w:spacing w:before="120" w:after="120" w:line="240" w:lineRule="auto"/>
        <w:ind w:hanging="540"/>
        <w:contextualSpacing w:val="0"/>
        <w:jc w:val="both"/>
        <w:rPr>
          <w:rFonts w:ascii="Arial" w:eastAsia="Arial" w:hAnsi="Arial" w:cs="Arial"/>
        </w:rPr>
      </w:pPr>
      <w:r w:rsidRPr="00DD5ABE">
        <w:rPr>
          <w:rFonts w:ascii="Arial" w:eastAsia="Arial" w:hAnsi="Arial" w:cs="Arial"/>
        </w:rPr>
        <w:t>In this sense, this second phase, will benefit the entire sector through free access to public goods and the strengthening of two existing and successful initiatives from phase I that are well on-track in reaching sustainability, the Sectoral Action for Governance and Business Efficiency (Sectoral Action)</w:t>
      </w:r>
      <w:r w:rsidR="002626AE">
        <w:rPr>
          <w:rStyle w:val="Refdenotaalpie"/>
          <w:rFonts w:ascii="Arial" w:eastAsia="Arial" w:hAnsi="Arial" w:cs="Arial"/>
        </w:rPr>
        <w:footnoteReference w:id="11"/>
      </w:r>
      <w:r w:rsidRPr="00DD5ABE">
        <w:rPr>
          <w:rFonts w:ascii="Arial" w:eastAsia="Arial" w:hAnsi="Arial" w:cs="Arial"/>
        </w:rPr>
        <w:t xml:space="preserve">  and the Water Operators Partnership platform (WOP-Colombia)</w:t>
      </w:r>
      <w:r w:rsidR="00FB1FF5">
        <w:rPr>
          <w:rStyle w:val="Refdenotaalpie"/>
          <w:rFonts w:ascii="Arial" w:eastAsia="Arial" w:hAnsi="Arial" w:cs="Arial"/>
        </w:rPr>
        <w:footnoteReference w:id="12"/>
      </w:r>
      <w:r w:rsidRPr="00DD5ABE">
        <w:rPr>
          <w:rFonts w:ascii="Arial" w:eastAsia="Arial" w:hAnsi="Arial" w:cs="Arial"/>
        </w:rPr>
        <w:t xml:space="preserve"> , and will concentrate efforts working with the two main Colombian associations (non-profit </w:t>
      </w:r>
      <w:proofErr w:type="spellStart"/>
      <w:r w:rsidRPr="00DD5ABE">
        <w:rPr>
          <w:rFonts w:ascii="Arial" w:eastAsia="Arial" w:hAnsi="Arial" w:cs="Arial"/>
        </w:rPr>
        <w:t>organisations</w:t>
      </w:r>
      <w:proofErr w:type="spellEnd"/>
      <w:r w:rsidRPr="00DD5ABE">
        <w:rPr>
          <w:rFonts w:ascii="Arial" w:eastAsia="Arial" w:hAnsi="Arial" w:cs="Arial"/>
        </w:rPr>
        <w:t>), dedicated to the wellbeing of the water and sanitation sector, the National Association of Utilities and Communications - ANDESCO</w:t>
      </w:r>
      <w:r w:rsidR="00A20C33">
        <w:rPr>
          <w:rStyle w:val="Refdenotaalpie"/>
          <w:rFonts w:ascii="Arial" w:eastAsia="Arial" w:hAnsi="Arial" w:cs="Arial"/>
        </w:rPr>
        <w:footnoteReference w:id="13"/>
      </w:r>
      <w:r w:rsidRPr="00DD5ABE">
        <w:rPr>
          <w:rFonts w:ascii="Arial" w:eastAsia="Arial" w:hAnsi="Arial" w:cs="Arial"/>
        </w:rPr>
        <w:t xml:space="preserve">  and the Colombian Association of Sanitary and Environmental Engineering - ACODAL</w:t>
      </w:r>
      <w:r w:rsidR="000564F1">
        <w:rPr>
          <w:rStyle w:val="Refdenotaalpie"/>
          <w:rFonts w:ascii="Arial" w:eastAsia="Arial" w:hAnsi="Arial" w:cs="Arial"/>
        </w:rPr>
        <w:footnoteReference w:id="14"/>
      </w:r>
      <w:r w:rsidRPr="00DD5ABE">
        <w:rPr>
          <w:rFonts w:ascii="Arial" w:eastAsia="Arial" w:hAnsi="Arial" w:cs="Arial"/>
        </w:rPr>
        <w:t>, to strengthen and institutionalize within their mandate the Sectoral Action and WOP- Colombia respectively (for which they currently play the role of technical secretariat but have not yet integrated the initiatives within their core business).</w:t>
      </w:r>
    </w:p>
    <w:p w14:paraId="67002E60" w14:textId="5494A41F" w:rsidR="00DD5ABE" w:rsidRDefault="00C33401" w:rsidP="26B9D784">
      <w:pPr>
        <w:pStyle w:val="Prrafodelista"/>
        <w:numPr>
          <w:ilvl w:val="1"/>
          <w:numId w:val="5"/>
        </w:numPr>
        <w:spacing w:before="120" w:after="120" w:line="240" w:lineRule="auto"/>
        <w:ind w:hanging="540"/>
        <w:contextualSpacing w:val="0"/>
        <w:jc w:val="both"/>
        <w:rPr>
          <w:rFonts w:ascii="Arial" w:eastAsia="Arial" w:hAnsi="Arial" w:cs="Arial"/>
        </w:rPr>
      </w:pPr>
      <w:r w:rsidRPr="00C33401">
        <w:rPr>
          <w:rFonts w:ascii="Arial" w:eastAsia="Arial" w:hAnsi="Arial" w:cs="Arial"/>
        </w:rPr>
        <w:lastRenderedPageBreak/>
        <w:t xml:space="preserve">According to ILO data, women's participation in electricity, gas, and water service companies in Colombia is 19.43%. Additionally, the Global Gender Gap Index (WEF, 2024) indicates that women's participation in the labor market is 52%, compared to 76% for men, resulting in a 24% gender gap. At the national level, the GGGI shows that women earn 67% of men's salaries, despite having better academic qualifications—64% of women hold tertiary education compared to 54% of men. For these reasons, it is essential that ANDESCO and ACODAL promote the development of gender policies for W&amp;S </w:t>
      </w:r>
      <w:r w:rsidR="00E97771" w:rsidRPr="00C33401">
        <w:rPr>
          <w:rFonts w:ascii="Arial" w:eastAsia="Arial" w:hAnsi="Arial" w:cs="Arial"/>
        </w:rPr>
        <w:t>utilities that</w:t>
      </w:r>
      <w:r w:rsidRPr="00C33401">
        <w:rPr>
          <w:rFonts w:ascii="Arial" w:eastAsia="Arial" w:hAnsi="Arial" w:cs="Arial"/>
        </w:rPr>
        <w:t xml:space="preserve"> underscores their commitment to gender equality, equity, and inclusion.</w:t>
      </w:r>
    </w:p>
    <w:p w14:paraId="7CEAA5CF" w14:textId="5FC4926B" w:rsidR="007F0B19" w:rsidRDefault="007F0B19" w:rsidP="26B9D784">
      <w:pPr>
        <w:pStyle w:val="Prrafodelista"/>
        <w:numPr>
          <w:ilvl w:val="1"/>
          <w:numId w:val="5"/>
        </w:numPr>
        <w:spacing w:before="120" w:after="120" w:line="240" w:lineRule="auto"/>
        <w:ind w:hanging="540"/>
        <w:contextualSpacing w:val="0"/>
        <w:jc w:val="both"/>
        <w:rPr>
          <w:rFonts w:ascii="Arial" w:eastAsia="Arial" w:hAnsi="Arial" w:cs="Arial"/>
        </w:rPr>
      </w:pPr>
      <w:r w:rsidRPr="007F0B19">
        <w:rPr>
          <w:rFonts w:ascii="Arial" w:eastAsia="Arial" w:hAnsi="Arial" w:cs="Arial"/>
        </w:rPr>
        <w:t xml:space="preserve">The objectives and activities of this technical cooperation are aligned with the </w:t>
      </w:r>
      <w:r w:rsidR="00B35813" w:rsidRPr="00B35813">
        <w:rPr>
          <w:rFonts w:ascii="Arial" w:eastAsia="Arial" w:hAnsi="Arial" w:cs="Arial"/>
        </w:rPr>
        <w:t xml:space="preserve">IDB Group Institutional Strategy: Transforming for Scale and Impact document number (CA-631) </w:t>
      </w:r>
      <w:r w:rsidRPr="007F0B19">
        <w:rPr>
          <w:rFonts w:ascii="Arial" w:eastAsia="Arial" w:hAnsi="Arial" w:cs="Arial"/>
        </w:rPr>
        <w:t>in its three basic objectives; i) Reduce poverty and inequality; ii) Address climate change; and iii) Bolster sustainable regional growth, reflected in interventions aimed at ensuring the sustainability and adoption of best corporate development practices in the water and sanitation sector, reaching the regional and local levels for better and more efficient services. This TC also aligns with the following areas of operational focus: (i) biodiversity, natural capital and climate action and (ii) gender equality as the AquaRating tool will be used to evaluate the current status of water utilities in managing gender and climate change issues, in order to develop action plans and improve performance; (iii) institutional capacity, rule of law, and citizen security; and (iv) social protection and human capital development as the TC will generate a number of public goods that will be available to all sector actors, strengthening their capacity and knowledge for applying best practices in water and sanitation utilities’ management. Additionally, the TC aligned with the objective of Colombia Country Strategy 2018 – 2022</w:t>
      </w:r>
      <w:r w:rsidR="00627ABC">
        <w:rPr>
          <w:rFonts w:ascii="Arial" w:eastAsia="Arial" w:hAnsi="Arial" w:cs="Arial"/>
        </w:rPr>
        <w:t xml:space="preserve"> (GN-2972)</w:t>
      </w:r>
      <w:r w:rsidR="00B812BA">
        <w:rPr>
          <w:rStyle w:val="Refdenotaalpie"/>
          <w:rFonts w:ascii="Arial" w:eastAsia="Arial" w:hAnsi="Arial" w:cs="Arial"/>
        </w:rPr>
        <w:footnoteReference w:id="15"/>
      </w:r>
      <w:r w:rsidRPr="007F0B19">
        <w:rPr>
          <w:rFonts w:ascii="Arial" w:eastAsia="Arial" w:hAnsi="Arial" w:cs="Arial"/>
        </w:rPr>
        <w:t xml:space="preserve"> “raise the quality of infrastructure and urban development, reduce transaction costs in the economy, and improve the international positioning of goods produced in Colombia”.</w:t>
      </w:r>
    </w:p>
    <w:p w14:paraId="07F34386" w14:textId="4DC13525" w:rsidR="007F0B19" w:rsidRDefault="00720798" w:rsidP="26B9D784">
      <w:pPr>
        <w:pStyle w:val="Prrafodelista"/>
        <w:numPr>
          <w:ilvl w:val="1"/>
          <w:numId w:val="5"/>
        </w:numPr>
        <w:spacing w:before="120" w:after="120" w:line="240" w:lineRule="auto"/>
        <w:ind w:hanging="540"/>
        <w:contextualSpacing w:val="0"/>
        <w:jc w:val="both"/>
        <w:rPr>
          <w:rFonts w:ascii="Arial" w:eastAsia="Arial" w:hAnsi="Arial" w:cs="Arial"/>
        </w:rPr>
      </w:pPr>
      <w:r w:rsidRPr="00720798">
        <w:rPr>
          <w:rFonts w:ascii="Arial" w:eastAsia="Arial" w:hAnsi="Arial" w:cs="Arial"/>
        </w:rPr>
        <w:t>The TC is aligned with the Success Dimensions and Lines of Action of the Water and Sanitation Sectoral Framework (GN-2781-13) with the premise that "projects and programs are environmentally and socially sustainable and incorporate climate change and environmental and cultural sustainability considerations"</w:t>
      </w:r>
      <w:r w:rsidR="004A7072" w:rsidRPr="004A7072">
        <w:rPr>
          <w:rFonts w:ascii="Arial" w:eastAsia="Arial" w:hAnsi="Arial" w:cs="Arial"/>
        </w:rPr>
        <w:t>; and with strategy of "Sustainable Infrastructure for Competitiveness and Inclusive Growth" (GN-2710-5) in the priority areas for action of "Promoting access to infrastructure services", "Promoting continuous improvements in infrastructure governance" and "Supporting the construction and maintenance of environmentally and socially sustainable infrastructure".</w:t>
      </w:r>
      <w:r w:rsidR="009402F2">
        <w:rPr>
          <w:rFonts w:ascii="Arial" w:eastAsia="Arial" w:hAnsi="Arial" w:cs="Arial"/>
        </w:rPr>
        <w:t xml:space="preserve"> </w:t>
      </w:r>
      <w:r w:rsidR="009402F2" w:rsidRPr="009402F2">
        <w:rPr>
          <w:rFonts w:ascii="Arial" w:eastAsia="Arial" w:hAnsi="Arial" w:cs="Arial"/>
        </w:rPr>
        <w:t xml:space="preserve">The objective of this TC is also consistent with the goals and standards of the Strategic Program for the Development of Countries Financed with Ordinary Capital (OC SDP), whose objectives include: </w:t>
      </w:r>
      <w:r w:rsidR="00C552C2" w:rsidRPr="00C552C2">
        <w:rPr>
          <w:rFonts w:ascii="Arial" w:eastAsia="Arial" w:hAnsi="Arial" w:cs="Arial"/>
        </w:rPr>
        <w:t xml:space="preserve">“(i) create opportunities for Public-Private partnerships (PPP) in infrastructure in LAC; (ii) improve the quality of infrastructure projects in LAC; (iii) promote greater investment in the region’s infrastructure sector and enhance the performance, quality, and sustainability of infrastructure services; </w:t>
      </w:r>
      <w:r w:rsidR="00C552C2">
        <w:rPr>
          <w:rFonts w:ascii="Arial" w:eastAsia="Arial" w:hAnsi="Arial" w:cs="Arial"/>
        </w:rPr>
        <w:t xml:space="preserve"> </w:t>
      </w:r>
      <w:r w:rsidR="00C552C2" w:rsidRPr="00C552C2">
        <w:rPr>
          <w:rFonts w:ascii="Arial" w:eastAsia="Arial" w:hAnsi="Arial" w:cs="Arial"/>
        </w:rPr>
        <w:t>(iv) enhance the quality of design and efficiency in the execution of infrastructure projects; (v) improve the design and monitoring of public policies and the transmission of lessons learned in the infrastructure sector; and (vi) generate and deepen sector knowledge on good infrastructure practices.’’ (GN-2819-14, Section V Window 2: Priority Areas, B. Priority Area 2: Sustainable and Resilient Infrastructure).</w:t>
      </w:r>
    </w:p>
    <w:p w14:paraId="65ED437E" w14:textId="4CE6B8F6" w:rsidR="001D2004" w:rsidRDefault="001D2004" w:rsidP="26B9D784">
      <w:pPr>
        <w:pStyle w:val="Prrafodelista"/>
        <w:numPr>
          <w:ilvl w:val="1"/>
          <w:numId w:val="5"/>
        </w:numPr>
        <w:spacing w:before="120" w:after="120" w:line="240" w:lineRule="auto"/>
        <w:ind w:hanging="540"/>
        <w:contextualSpacing w:val="0"/>
        <w:jc w:val="both"/>
        <w:rPr>
          <w:rFonts w:ascii="Arial" w:eastAsia="Arial" w:hAnsi="Arial" w:cs="Arial"/>
        </w:rPr>
      </w:pPr>
      <w:r w:rsidRPr="001D2004">
        <w:rPr>
          <w:rFonts w:ascii="Arial" w:eastAsia="Arial" w:hAnsi="Arial" w:cs="Arial"/>
        </w:rPr>
        <w:lastRenderedPageBreak/>
        <w:t>The TC is consistent with the current National Development Plan 2022 - 2026 called Colombia - World Power of Life, particularly in the axes of: 1) territorial planning around water and 2) human and social rights. Territorial planning around water and environmental justice are high priority on the national agenda, proposing a planning model that should promote environmental sustainability, productivity, better public services and quality of life.</w:t>
      </w:r>
    </w:p>
    <w:p w14:paraId="0B33F800" w14:textId="2D66883D" w:rsidR="00EE7E8E" w:rsidRPr="000F744C" w:rsidRDefault="00EE7E8E" w:rsidP="26B9D784">
      <w:pPr>
        <w:pStyle w:val="Prrafodelista"/>
        <w:numPr>
          <w:ilvl w:val="1"/>
          <w:numId w:val="5"/>
        </w:numPr>
        <w:spacing w:before="120" w:after="120" w:line="240" w:lineRule="auto"/>
        <w:ind w:hanging="540"/>
        <w:contextualSpacing w:val="0"/>
        <w:jc w:val="both"/>
        <w:rPr>
          <w:rFonts w:ascii="Arial" w:eastAsia="Arial" w:hAnsi="Arial" w:cs="Arial"/>
        </w:rPr>
      </w:pPr>
      <w:r w:rsidRPr="00EE7E8E">
        <w:rPr>
          <w:rFonts w:ascii="Arial" w:eastAsia="Arial" w:hAnsi="Arial" w:cs="Arial"/>
        </w:rPr>
        <w:t>Also, the TC is aligned with the objectives of SECO/WE</w:t>
      </w:r>
      <w:r w:rsidR="00951362">
        <w:rPr>
          <w:rStyle w:val="Refdenotaalpie"/>
          <w:rFonts w:ascii="Arial" w:eastAsia="Arial" w:hAnsi="Arial" w:cs="Arial"/>
        </w:rPr>
        <w:footnoteReference w:id="16"/>
      </w:r>
      <w:r w:rsidRPr="00EE7E8E">
        <w:rPr>
          <w:rFonts w:ascii="Arial" w:eastAsia="Arial" w:hAnsi="Arial" w:cs="Arial"/>
        </w:rPr>
        <w:t xml:space="preserve"> under the current (2021-2024) and forthcoming (2025-2028) international cooperation strategy and with the foreign economic policy strategy, more specifically with its overall goal to strengthen Colombia´s institutions, communities, and civil society. The proposal is framed within objective 3 - sustainable cities and territories, stronger institutions, and better public services - and will contribute to the accomplishment of one of the main measures of the objective related to enhancing water governance and scaling-up of corporate water stewardship.</w:t>
      </w:r>
    </w:p>
    <w:p w14:paraId="3BBAB1FF" w14:textId="21B7C5F5" w:rsidR="0095711B" w:rsidRPr="000F744C" w:rsidRDefault="00D95606" w:rsidP="26B9D784">
      <w:pPr>
        <w:pStyle w:val="Prrafodelista"/>
        <w:numPr>
          <w:ilvl w:val="0"/>
          <w:numId w:val="5"/>
        </w:numPr>
        <w:spacing w:before="120" w:after="120" w:line="240" w:lineRule="auto"/>
        <w:contextualSpacing w:val="0"/>
        <w:rPr>
          <w:rFonts w:ascii="Arial" w:eastAsia="Arial" w:hAnsi="Arial" w:cs="Arial"/>
          <w:b/>
          <w:bCs/>
        </w:rPr>
      </w:pPr>
      <w:r w:rsidRPr="26B9D784">
        <w:rPr>
          <w:rFonts w:ascii="Arial" w:eastAsia="Arial" w:hAnsi="Arial" w:cs="Arial"/>
          <w:b/>
          <w:bCs/>
        </w:rPr>
        <w:t>D</w:t>
      </w:r>
      <w:r w:rsidR="0095711B" w:rsidRPr="26B9D784">
        <w:rPr>
          <w:rFonts w:ascii="Arial" w:eastAsia="Arial" w:hAnsi="Arial" w:cs="Arial"/>
          <w:b/>
          <w:bCs/>
        </w:rPr>
        <w:t xml:space="preserve">escription </w:t>
      </w:r>
      <w:r w:rsidR="00A12C27" w:rsidRPr="26B9D784">
        <w:rPr>
          <w:rFonts w:ascii="Arial" w:eastAsia="Arial" w:hAnsi="Arial" w:cs="Arial"/>
          <w:b/>
          <w:bCs/>
        </w:rPr>
        <w:t>of activities</w:t>
      </w:r>
      <w:r w:rsidR="00F6363D" w:rsidRPr="26B9D784">
        <w:rPr>
          <w:rFonts w:ascii="Arial" w:eastAsia="Arial" w:hAnsi="Arial" w:cs="Arial"/>
          <w:b/>
          <w:bCs/>
        </w:rPr>
        <w:t>/components</w:t>
      </w:r>
      <w:r w:rsidR="009C5C06" w:rsidRPr="26B9D784">
        <w:rPr>
          <w:rFonts w:ascii="Arial" w:eastAsia="Arial" w:hAnsi="Arial" w:cs="Arial"/>
          <w:b/>
          <w:bCs/>
        </w:rPr>
        <w:t xml:space="preserve"> </w:t>
      </w:r>
      <w:r w:rsidR="0023302F" w:rsidRPr="26B9D784">
        <w:rPr>
          <w:rFonts w:ascii="Arial" w:eastAsia="Arial" w:hAnsi="Arial" w:cs="Arial"/>
          <w:b/>
          <w:bCs/>
        </w:rPr>
        <w:t>and budget</w:t>
      </w:r>
    </w:p>
    <w:p w14:paraId="3BBAB201" w14:textId="2830CD8C" w:rsidR="001C18FD" w:rsidRDefault="00870E0B" w:rsidP="29BD502F">
      <w:pPr>
        <w:pStyle w:val="Prrafodelista"/>
        <w:numPr>
          <w:ilvl w:val="1"/>
          <w:numId w:val="5"/>
        </w:numPr>
        <w:spacing w:before="120" w:after="120" w:line="240" w:lineRule="auto"/>
        <w:ind w:hanging="540"/>
        <w:jc w:val="both"/>
        <w:rPr>
          <w:rFonts w:ascii="Arial" w:eastAsia="Arial" w:hAnsi="Arial" w:cs="Arial"/>
        </w:rPr>
      </w:pPr>
      <w:r w:rsidRPr="00870E0B">
        <w:rPr>
          <w:rFonts w:ascii="Arial" w:eastAsia="Arial" w:hAnsi="Arial" w:cs="Arial"/>
          <w:b/>
          <w:bCs/>
        </w:rPr>
        <w:t xml:space="preserve">Component 1: </w:t>
      </w:r>
      <w:proofErr w:type="spellStart"/>
      <w:r w:rsidRPr="00870E0B">
        <w:rPr>
          <w:rFonts w:ascii="Arial" w:eastAsia="Arial" w:hAnsi="Arial" w:cs="Arial"/>
          <w:b/>
          <w:bCs/>
        </w:rPr>
        <w:t>Institutionalisation</w:t>
      </w:r>
      <w:proofErr w:type="spellEnd"/>
      <w:r w:rsidRPr="00870E0B">
        <w:rPr>
          <w:rFonts w:ascii="Arial" w:eastAsia="Arial" w:hAnsi="Arial" w:cs="Arial"/>
          <w:b/>
          <w:bCs/>
        </w:rPr>
        <w:t xml:space="preserve"> of the Sectoral Action within ANDESCO.</w:t>
      </w:r>
      <w:r w:rsidRPr="00870E0B">
        <w:rPr>
          <w:rFonts w:ascii="Arial" w:eastAsia="Arial" w:hAnsi="Arial" w:cs="Arial"/>
        </w:rPr>
        <w:t xml:space="preserve"> The first component seeks to foster the sustainability of the Sectoral Action and will achieve this through the following:</w:t>
      </w:r>
      <w:r>
        <w:rPr>
          <w:rFonts w:ascii="Arial" w:eastAsia="Arial" w:hAnsi="Arial" w:cs="Arial"/>
        </w:rPr>
        <w:t xml:space="preserve"> </w:t>
      </w:r>
      <w:r w:rsidRPr="00870E0B">
        <w:rPr>
          <w:rFonts w:ascii="Arial" w:eastAsia="Arial" w:hAnsi="Arial" w:cs="Arial"/>
        </w:rPr>
        <w:t xml:space="preserve">i) </w:t>
      </w:r>
      <w:proofErr w:type="spellStart"/>
      <w:r w:rsidRPr="00870E0B">
        <w:rPr>
          <w:rFonts w:ascii="Arial" w:eastAsia="Arial" w:hAnsi="Arial" w:cs="Arial"/>
        </w:rPr>
        <w:t>Organisational</w:t>
      </w:r>
      <w:proofErr w:type="spellEnd"/>
      <w:r w:rsidRPr="00870E0B">
        <w:rPr>
          <w:rFonts w:ascii="Arial" w:eastAsia="Arial" w:hAnsi="Arial" w:cs="Arial"/>
        </w:rPr>
        <w:t xml:space="preserve"> adjustments and funding strategy for the Sectoral Action. The TC will provide technical and legal support for required legal amendments in ANDESCO’s </w:t>
      </w:r>
      <w:proofErr w:type="spellStart"/>
      <w:r w:rsidRPr="00870E0B">
        <w:rPr>
          <w:rFonts w:ascii="Arial" w:eastAsia="Arial" w:hAnsi="Arial" w:cs="Arial"/>
        </w:rPr>
        <w:t>organisational</w:t>
      </w:r>
      <w:proofErr w:type="spellEnd"/>
      <w:r w:rsidRPr="00870E0B">
        <w:rPr>
          <w:rFonts w:ascii="Arial" w:eastAsia="Arial" w:hAnsi="Arial" w:cs="Arial"/>
        </w:rPr>
        <w:t xml:space="preserve"> structure, its operational manual and/or processes. Also, </w:t>
      </w:r>
      <w:proofErr w:type="gramStart"/>
      <w:r w:rsidRPr="00870E0B">
        <w:rPr>
          <w:rFonts w:ascii="Arial" w:eastAsia="Arial" w:hAnsi="Arial" w:cs="Arial"/>
        </w:rPr>
        <w:t>in order to</w:t>
      </w:r>
      <w:proofErr w:type="gramEnd"/>
      <w:r w:rsidRPr="00870E0B">
        <w:rPr>
          <w:rFonts w:ascii="Arial" w:eastAsia="Arial" w:hAnsi="Arial" w:cs="Arial"/>
        </w:rPr>
        <w:t xml:space="preserve"> ensure sustainability of the Sectoral Action, the TC will support ANDESCO in the development and implementation of a log-term funding strategy; ii) Capacity building to strengthen the Sectoral Action towards a wider range of development topics. Based on the demand of the utilities subscribed to the Sectoral Action, it will complement its current focus on corporate governance with other strategic corporate development topics such as, for example: non-revenue water, energy efficiency, circular economy, water security, gender equality, and </w:t>
      </w:r>
      <w:proofErr w:type="spellStart"/>
      <w:r w:rsidRPr="00870E0B">
        <w:rPr>
          <w:rFonts w:ascii="Arial" w:eastAsia="Arial" w:hAnsi="Arial" w:cs="Arial"/>
        </w:rPr>
        <w:t>decarbonisation</w:t>
      </w:r>
      <w:proofErr w:type="spellEnd"/>
      <w:r w:rsidRPr="00870E0B">
        <w:rPr>
          <w:rFonts w:ascii="Arial" w:eastAsia="Arial" w:hAnsi="Arial" w:cs="Arial"/>
        </w:rPr>
        <w:t xml:space="preserve">. This will lead to the elaboration of improvement plans related to new corporate development topics and a dashboard with related indicators for monitoring their reporting and compliance for the Sectoral Action utilities. Based on these, knowledge products will be developed and made available to all water utilities in the sector; iii) Development of public goods and knowledge management. Knowledge development tools will be created based on Phase I results </w:t>
      </w:r>
      <w:proofErr w:type="gramStart"/>
      <w:r w:rsidRPr="00870E0B">
        <w:rPr>
          <w:rFonts w:ascii="Arial" w:eastAsia="Arial" w:hAnsi="Arial" w:cs="Arial"/>
        </w:rPr>
        <w:t>in order to</w:t>
      </w:r>
      <w:proofErr w:type="gramEnd"/>
      <w:r w:rsidRPr="00870E0B">
        <w:rPr>
          <w:rFonts w:ascii="Arial" w:eastAsia="Arial" w:hAnsi="Arial" w:cs="Arial"/>
        </w:rPr>
        <w:t xml:space="preserve"> be disseminated to the sector. These tools will include online courses to complement the set of courses already released</w:t>
      </w:r>
      <w:r w:rsidR="00A24E0E">
        <w:rPr>
          <w:rStyle w:val="Refdenotaalpie"/>
          <w:rFonts w:ascii="Arial" w:eastAsia="Arial" w:hAnsi="Arial" w:cs="Arial"/>
        </w:rPr>
        <w:footnoteReference w:id="17"/>
      </w:r>
      <w:r w:rsidRPr="00870E0B">
        <w:rPr>
          <w:rFonts w:ascii="Arial" w:eastAsia="Arial" w:hAnsi="Arial" w:cs="Arial"/>
        </w:rPr>
        <w:t xml:space="preserve"> in phase I, which will be hosted openly and freely on a public website. Collaboration with universities and water-related academic education </w:t>
      </w:r>
      <w:proofErr w:type="spellStart"/>
      <w:r w:rsidRPr="00870E0B">
        <w:rPr>
          <w:rFonts w:ascii="Arial" w:eastAsia="Arial" w:hAnsi="Arial" w:cs="Arial"/>
        </w:rPr>
        <w:t>programmes</w:t>
      </w:r>
      <w:proofErr w:type="spellEnd"/>
      <w:r w:rsidRPr="00870E0B">
        <w:rPr>
          <w:rFonts w:ascii="Arial" w:eastAsia="Arial" w:hAnsi="Arial" w:cs="Arial"/>
        </w:rPr>
        <w:t xml:space="preserve"> will be expanded and the TC will finance a module </w:t>
      </w:r>
      <w:r w:rsidR="009E5FDF">
        <w:rPr>
          <w:rFonts w:ascii="Arial" w:eastAsia="Arial" w:hAnsi="Arial" w:cs="Arial"/>
        </w:rPr>
        <w:t xml:space="preserve">hosted </w:t>
      </w:r>
      <w:r w:rsidRPr="00870E0B">
        <w:rPr>
          <w:rFonts w:ascii="Arial" w:eastAsia="Arial" w:hAnsi="Arial" w:cs="Arial"/>
        </w:rPr>
        <w:t xml:space="preserve">under Sectoral Action’s website to facilitate knowledge and lessons learned sharing; iv) Additionally, the developments will be shared with sector entities so that they can be used as inputs for public policy dialogue and targeted </w:t>
      </w:r>
      <w:proofErr w:type="spellStart"/>
      <w:r w:rsidRPr="00870E0B">
        <w:rPr>
          <w:rFonts w:ascii="Arial" w:eastAsia="Arial" w:hAnsi="Arial" w:cs="Arial"/>
        </w:rPr>
        <w:t>programmes</w:t>
      </w:r>
      <w:proofErr w:type="spellEnd"/>
      <w:r w:rsidRPr="00870E0B">
        <w:rPr>
          <w:rFonts w:ascii="Arial" w:eastAsia="Arial" w:hAnsi="Arial" w:cs="Arial"/>
        </w:rPr>
        <w:t xml:space="preserve">, and will be disseminated to stakeholders at national, regional and international levels. A dissemination plan will be designed and implemented </w:t>
      </w:r>
      <w:proofErr w:type="gramStart"/>
      <w:r w:rsidRPr="00870E0B">
        <w:rPr>
          <w:rFonts w:ascii="Arial" w:eastAsia="Arial" w:hAnsi="Arial" w:cs="Arial"/>
        </w:rPr>
        <w:t>in order to</w:t>
      </w:r>
      <w:proofErr w:type="gramEnd"/>
      <w:r w:rsidRPr="00870E0B">
        <w:rPr>
          <w:rFonts w:ascii="Arial" w:eastAsia="Arial" w:hAnsi="Arial" w:cs="Arial"/>
        </w:rPr>
        <w:t xml:space="preserve"> guarantee that the tools, courses, the web module and all knowledge generated are known by all relevant stakeholders. Also, knowledge will be presented in high level international events such as the World Water Forum, the World Water Week, OECD biannual meetings or the IWA World Water Congress.</w:t>
      </w:r>
      <w:r w:rsidRPr="26B9D784">
        <w:rPr>
          <w:rFonts w:ascii="Arial" w:eastAsia="Arial" w:hAnsi="Arial" w:cs="Arial"/>
        </w:rPr>
        <w:t xml:space="preserve"> </w:t>
      </w:r>
    </w:p>
    <w:p w14:paraId="1422133B" w14:textId="418A97CC" w:rsidR="000E4D2B" w:rsidRDefault="000E4D2B" w:rsidP="26B9D784">
      <w:pPr>
        <w:pStyle w:val="Prrafodelista"/>
        <w:numPr>
          <w:ilvl w:val="1"/>
          <w:numId w:val="5"/>
        </w:numPr>
        <w:spacing w:before="120" w:after="120" w:line="240" w:lineRule="auto"/>
        <w:ind w:hanging="540"/>
        <w:contextualSpacing w:val="0"/>
        <w:jc w:val="both"/>
        <w:rPr>
          <w:rFonts w:ascii="Arial" w:eastAsia="Arial" w:hAnsi="Arial" w:cs="Arial"/>
        </w:rPr>
      </w:pPr>
      <w:r w:rsidRPr="000E4D2B">
        <w:rPr>
          <w:rFonts w:ascii="Arial" w:eastAsia="Arial" w:hAnsi="Arial" w:cs="Arial"/>
          <w:b/>
          <w:bCs/>
        </w:rPr>
        <w:lastRenderedPageBreak/>
        <w:t xml:space="preserve">Component 2. </w:t>
      </w:r>
      <w:proofErr w:type="spellStart"/>
      <w:r w:rsidRPr="000E4D2B">
        <w:rPr>
          <w:rFonts w:ascii="Arial" w:eastAsia="Arial" w:hAnsi="Arial" w:cs="Arial"/>
          <w:b/>
          <w:bCs/>
        </w:rPr>
        <w:t>Institutionalisation</w:t>
      </w:r>
      <w:proofErr w:type="spellEnd"/>
      <w:r w:rsidRPr="000E4D2B">
        <w:rPr>
          <w:rFonts w:ascii="Arial" w:eastAsia="Arial" w:hAnsi="Arial" w:cs="Arial"/>
          <w:b/>
          <w:bCs/>
        </w:rPr>
        <w:t xml:space="preserve"> of the WOP-Colombia platform within ACODAL.</w:t>
      </w:r>
      <w:r w:rsidRPr="000E4D2B">
        <w:rPr>
          <w:rFonts w:ascii="Arial" w:eastAsia="Arial" w:hAnsi="Arial" w:cs="Arial"/>
        </w:rPr>
        <w:t xml:space="preserve"> The second component seeks the scaling-up and the sustainability of WOP-Colombia’s peer-to-peer learning approach, knowledge transfer and technical support under a collaborative environment. The activities will be: i) </w:t>
      </w:r>
      <w:proofErr w:type="spellStart"/>
      <w:r w:rsidRPr="000E4D2B">
        <w:rPr>
          <w:rFonts w:ascii="Arial" w:eastAsia="Arial" w:hAnsi="Arial" w:cs="Arial"/>
        </w:rPr>
        <w:t>Organisational</w:t>
      </w:r>
      <w:proofErr w:type="spellEnd"/>
      <w:r w:rsidRPr="000E4D2B">
        <w:rPr>
          <w:rFonts w:ascii="Arial" w:eastAsia="Arial" w:hAnsi="Arial" w:cs="Arial"/>
        </w:rPr>
        <w:t xml:space="preserve"> adjustments and funding strategy for the WOP-Colombia platform. The TC will provide technical and legal support for required legal amendments in ACODAL´s </w:t>
      </w:r>
      <w:proofErr w:type="spellStart"/>
      <w:r w:rsidRPr="000E4D2B">
        <w:rPr>
          <w:rFonts w:ascii="Arial" w:eastAsia="Arial" w:hAnsi="Arial" w:cs="Arial"/>
        </w:rPr>
        <w:t>organisational</w:t>
      </w:r>
      <w:proofErr w:type="spellEnd"/>
      <w:r w:rsidRPr="000E4D2B">
        <w:rPr>
          <w:rFonts w:ascii="Arial" w:eastAsia="Arial" w:hAnsi="Arial" w:cs="Arial"/>
        </w:rPr>
        <w:t xml:space="preserve"> structure, its operational manual and/or processes. Also, the TC will provide support in the development and implementation of a funding strategy to secure the sustainability of the platform; ii) Expanding technical support between utilities based on the partnership model (peer-to-peer). The TC will support ACODAL in </w:t>
      </w:r>
      <w:proofErr w:type="spellStart"/>
      <w:r w:rsidRPr="000E4D2B">
        <w:rPr>
          <w:rFonts w:ascii="Arial" w:eastAsia="Arial" w:hAnsi="Arial" w:cs="Arial"/>
        </w:rPr>
        <w:t>organising</w:t>
      </w:r>
      <w:proofErr w:type="spellEnd"/>
      <w:r w:rsidRPr="000E4D2B">
        <w:rPr>
          <w:rFonts w:ascii="Arial" w:eastAsia="Arial" w:hAnsi="Arial" w:cs="Arial"/>
        </w:rPr>
        <w:t xml:space="preserve"> and managing partnerships between water operators, securing them at a larger scale, and reaching smaller urban water service providers. Utilities will register as WOP-Colombia members </w:t>
      </w:r>
      <w:proofErr w:type="gramStart"/>
      <w:r w:rsidRPr="000E4D2B">
        <w:rPr>
          <w:rFonts w:ascii="Arial" w:eastAsia="Arial" w:hAnsi="Arial" w:cs="Arial"/>
        </w:rPr>
        <w:t>in order to</w:t>
      </w:r>
      <w:proofErr w:type="gramEnd"/>
      <w:r w:rsidRPr="000E4D2B">
        <w:rPr>
          <w:rFonts w:ascii="Arial" w:eastAsia="Arial" w:hAnsi="Arial" w:cs="Arial"/>
        </w:rPr>
        <w:t xml:space="preserve"> participate. In the registration process they will indicate their strengths and needs so a match can be made between mentors and beneficiaries. All partnerships are developed on a demand-based approach; iii) Public goods development and knowledge management.  The TC will document lessons learned and business cases derived from experiences in peer-to-peer partnerships. The </w:t>
      </w:r>
      <w:proofErr w:type="spellStart"/>
      <w:r w:rsidRPr="000E4D2B">
        <w:rPr>
          <w:rFonts w:ascii="Arial" w:eastAsia="Arial" w:hAnsi="Arial" w:cs="Arial"/>
        </w:rPr>
        <w:t>Programme</w:t>
      </w:r>
      <w:proofErr w:type="spellEnd"/>
      <w:r w:rsidRPr="000E4D2B">
        <w:rPr>
          <w:rFonts w:ascii="Arial" w:eastAsia="Arial" w:hAnsi="Arial" w:cs="Arial"/>
        </w:rPr>
        <w:t xml:space="preserve"> will seek to implement a module </w:t>
      </w:r>
      <w:r w:rsidR="009E5FDF">
        <w:rPr>
          <w:rFonts w:ascii="Arial" w:eastAsia="Arial" w:hAnsi="Arial" w:cs="Arial"/>
        </w:rPr>
        <w:t xml:space="preserve">hosted </w:t>
      </w:r>
      <w:r w:rsidRPr="000E4D2B">
        <w:rPr>
          <w:rFonts w:ascii="Arial" w:eastAsia="Arial" w:hAnsi="Arial" w:cs="Arial"/>
        </w:rPr>
        <w:t>under ACODAL’s website where knowledge and lessons learned are shared. Also, an innovative functionality will be developed to facilitate the promotion, signing and development of partnerships autonomously from the TC financing. iv) Dissemination to stakeholders at the national, regional and international level. Achievements and lessons learned developed by WOP-Colombia will be showcased in annual workshops during the ACODAL congress at national level, and by presenting in high level international events such as the Global WOP congress, the World Water Forum, the World Water Week or the IWA World Water Congress.</w:t>
      </w:r>
    </w:p>
    <w:p w14:paraId="046D406C" w14:textId="5B11EBA0" w:rsidR="009F589B" w:rsidRDefault="00311852" w:rsidP="009F589B">
      <w:pPr>
        <w:pStyle w:val="Prrafodelista"/>
        <w:numPr>
          <w:ilvl w:val="1"/>
          <w:numId w:val="5"/>
        </w:numPr>
        <w:spacing w:before="120" w:after="120" w:line="240" w:lineRule="auto"/>
        <w:ind w:hanging="540"/>
        <w:contextualSpacing w:val="0"/>
        <w:jc w:val="both"/>
        <w:rPr>
          <w:rFonts w:ascii="Arial" w:eastAsia="Arial" w:hAnsi="Arial" w:cs="Arial"/>
        </w:rPr>
      </w:pPr>
      <w:r w:rsidRPr="009F589B">
        <w:rPr>
          <w:rFonts w:ascii="Arial" w:eastAsia="Arial" w:hAnsi="Arial" w:cs="Arial"/>
          <w:b/>
          <w:bCs/>
        </w:rPr>
        <w:t>Expected Outcomes</w:t>
      </w:r>
      <w:r w:rsidR="009F589B" w:rsidRPr="009F589B">
        <w:rPr>
          <w:rFonts w:ascii="Arial" w:eastAsia="Arial" w:hAnsi="Arial" w:cs="Arial"/>
        </w:rPr>
        <w:t>: (i)</w:t>
      </w:r>
      <w:r w:rsidR="009F589B">
        <w:rPr>
          <w:rFonts w:ascii="Arial" w:eastAsia="Arial" w:hAnsi="Arial" w:cs="Arial"/>
        </w:rPr>
        <w:t xml:space="preserve"> t</w:t>
      </w:r>
      <w:r w:rsidR="009F589B" w:rsidRPr="009F589B">
        <w:rPr>
          <w:rFonts w:ascii="Arial" w:eastAsia="Arial" w:hAnsi="Arial" w:cs="Arial"/>
        </w:rPr>
        <w:t>he Sectorial Action initiative and the WOP-Colombia platform are institutionalized in the two associations</w:t>
      </w:r>
      <w:r w:rsidR="009F589B">
        <w:rPr>
          <w:rFonts w:ascii="Arial" w:eastAsia="Arial" w:hAnsi="Arial" w:cs="Arial"/>
        </w:rPr>
        <w:t>; (ii) t</w:t>
      </w:r>
      <w:r w:rsidR="009F589B" w:rsidRPr="009F589B">
        <w:rPr>
          <w:rFonts w:ascii="Arial" w:eastAsia="Arial" w:hAnsi="Arial" w:cs="Arial"/>
        </w:rPr>
        <w:t xml:space="preserve">he two sector associations ANDESCO and ACODAL </w:t>
      </w:r>
      <w:proofErr w:type="spellStart"/>
      <w:r w:rsidR="009F589B" w:rsidRPr="009F589B">
        <w:rPr>
          <w:rFonts w:ascii="Arial" w:eastAsia="Arial" w:hAnsi="Arial" w:cs="Arial"/>
        </w:rPr>
        <w:t>mobilised</w:t>
      </w:r>
      <w:proofErr w:type="spellEnd"/>
      <w:r w:rsidR="009F589B" w:rsidRPr="009F589B">
        <w:rPr>
          <w:rFonts w:ascii="Arial" w:eastAsia="Arial" w:hAnsi="Arial" w:cs="Arial"/>
        </w:rPr>
        <w:t xml:space="preserve"> additional resources for sustainably financing their corporate development activities in the water sector</w:t>
      </w:r>
      <w:r w:rsidR="009F589B">
        <w:rPr>
          <w:rFonts w:ascii="Arial" w:eastAsia="Arial" w:hAnsi="Arial" w:cs="Arial"/>
        </w:rPr>
        <w:t>; (iii) p</w:t>
      </w:r>
      <w:r w:rsidR="009F589B" w:rsidRPr="009F589B">
        <w:rPr>
          <w:rFonts w:ascii="Arial" w:eastAsia="Arial" w:hAnsi="Arial" w:cs="Arial"/>
        </w:rPr>
        <w:t>eer-to-peer learning and technical support expanded among water utilities</w:t>
      </w:r>
      <w:r w:rsidR="009F589B">
        <w:rPr>
          <w:rFonts w:ascii="Arial" w:eastAsia="Arial" w:hAnsi="Arial" w:cs="Arial"/>
        </w:rPr>
        <w:t>; and (iv) i</w:t>
      </w:r>
      <w:r w:rsidR="009F589B" w:rsidRPr="009F589B">
        <w:rPr>
          <w:rFonts w:ascii="Arial" w:eastAsia="Arial" w:hAnsi="Arial" w:cs="Arial"/>
        </w:rPr>
        <w:t>nstitutional and professional capacity/skills of the water sector improved.</w:t>
      </w:r>
    </w:p>
    <w:p w14:paraId="7A830A08" w14:textId="396E4408" w:rsidR="00A51593" w:rsidRDefault="00A51593" w:rsidP="00DA5715">
      <w:pPr>
        <w:pStyle w:val="Prrafodelista"/>
        <w:numPr>
          <w:ilvl w:val="1"/>
          <w:numId w:val="5"/>
        </w:numPr>
        <w:spacing w:before="120" w:after="120" w:line="240" w:lineRule="auto"/>
        <w:ind w:hanging="540"/>
        <w:contextualSpacing w:val="0"/>
        <w:jc w:val="both"/>
        <w:rPr>
          <w:rFonts w:ascii="Arial" w:eastAsia="Arial" w:hAnsi="Arial" w:cs="Arial"/>
        </w:rPr>
      </w:pPr>
      <w:r w:rsidRPr="00F47610">
        <w:rPr>
          <w:rFonts w:ascii="Arial" w:eastAsia="Arial" w:hAnsi="Arial" w:cs="Arial"/>
          <w:b/>
          <w:bCs/>
        </w:rPr>
        <w:t>Key Outputs</w:t>
      </w:r>
      <w:r w:rsidRPr="00F47610">
        <w:rPr>
          <w:rFonts w:ascii="Arial" w:eastAsia="Arial" w:hAnsi="Arial" w:cs="Arial"/>
        </w:rPr>
        <w:t xml:space="preserve">: </w:t>
      </w:r>
      <w:r w:rsidR="009E4735" w:rsidRPr="00F47610">
        <w:rPr>
          <w:rFonts w:ascii="Arial" w:eastAsia="Arial" w:hAnsi="Arial" w:cs="Arial"/>
        </w:rPr>
        <w:t xml:space="preserve">(i) ANDESCO’s and ACODAL’s capacity building and </w:t>
      </w:r>
      <w:proofErr w:type="spellStart"/>
      <w:r w:rsidR="009E4735" w:rsidRPr="00F47610">
        <w:rPr>
          <w:rFonts w:ascii="Arial" w:eastAsia="Arial" w:hAnsi="Arial" w:cs="Arial"/>
        </w:rPr>
        <w:t>organisational</w:t>
      </w:r>
      <w:proofErr w:type="spellEnd"/>
      <w:r w:rsidR="009E4735" w:rsidRPr="00F47610">
        <w:rPr>
          <w:rFonts w:ascii="Arial" w:eastAsia="Arial" w:hAnsi="Arial" w:cs="Arial"/>
        </w:rPr>
        <w:t xml:space="preserve"> adjustments plans are developed and implemented; (ii) Sectoral Action’s and WOP-Colombia’s funding strategy are developed and implemented; (iii) </w:t>
      </w:r>
      <w:r w:rsidR="00F47610" w:rsidRPr="00F47610">
        <w:rPr>
          <w:rFonts w:ascii="Arial" w:eastAsia="Arial" w:hAnsi="Arial" w:cs="Arial"/>
        </w:rPr>
        <w:t>m</w:t>
      </w:r>
      <w:r w:rsidR="009E4735" w:rsidRPr="00F47610">
        <w:rPr>
          <w:rFonts w:ascii="Arial" w:eastAsia="Arial" w:hAnsi="Arial" w:cs="Arial"/>
        </w:rPr>
        <w:t>onitoring and evaluation systems for new corporate development topics are designed and implemented within the Sectoral Action</w:t>
      </w:r>
      <w:r w:rsidR="00F47610" w:rsidRPr="00F47610">
        <w:rPr>
          <w:rFonts w:ascii="Arial" w:eastAsia="Arial" w:hAnsi="Arial" w:cs="Arial"/>
        </w:rPr>
        <w:t xml:space="preserve">; (iv) </w:t>
      </w:r>
      <w:r w:rsidR="009E4735" w:rsidRPr="00F47610">
        <w:rPr>
          <w:rFonts w:ascii="Arial" w:eastAsia="Arial" w:hAnsi="Arial" w:cs="Arial"/>
        </w:rPr>
        <w:t>Sectoral Action improvement plans related to new strategic corporate development indicators are developed</w:t>
      </w:r>
      <w:r w:rsidR="00F47610" w:rsidRPr="00F47610">
        <w:rPr>
          <w:rFonts w:ascii="Arial" w:eastAsia="Arial" w:hAnsi="Arial" w:cs="Arial"/>
        </w:rPr>
        <w:t>; (v) k</w:t>
      </w:r>
      <w:r w:rsidR="009E4735" w:rsidRPr="00F47610">
        <w:rPr>
          <w:rFonts w:ascii="Arial" w:eastAsia="Arial" w:hAnsi="Arial" w:cs="Arial"/>
        </w:rPr>
        <w:t>nowledge products are developed</w:t>
      </w:r>
      <w:r w:rsidR="00F47610" w:rsidRPr="00F47610">
        <w:rPr>
          <w:rFonts w:ascii="Arial" w:eastAsia="Arial" w:hAnsi="Arial" w:cs="Arial"/>
        </w:rPr>
        <w:t>; (vi)</w:t>
      </w:r>
      <w:r w:rsidR="00F47610">
        <w:rPr>
          <w:rFonts w:ascii="Arial" w:eastAsia="Arial" w:hAnsi="Arial" w:cs="Arial"/>
        </w:rPr>
        <w:t xml:space="preserve"> c</w:t>
      </w:r>
      <w:r w:rsidR="009E4735" w:rsidRPr="00F47610">
        <w:rPr>
          <w:rFonts w:ascii="Arial" w:eastAsia="Arial" w:hAnsi="Arial" w:cs="Arial"/>
        </w:rPr>
        <w:t>ourses are developed and delivered</w:t>
      </w:r>
      <w:r w:rsidR="00F47610">
        <w:rPr>
          <w:rFonts w:ascii="Arial" w:eastAsia="Arial" w:hAnsi="Arial" w:cs="Arial"/>
        </w:rPr>
        <w:t>; (vii)</w:t>
      </w:r>
      <w:r w:rsidR="00AC5542">
        <w:rPr>
          <w:rFonts w:ascii="Arial" w:eastAsia="Arial" w:hAnsi="Arial" w:cs="Arial"/>
        </w:rPr>
        <w:t xml:space="preserve"> w</w:t>
      </w:r>
      <w:r w:rsidR="009E4735" w:rsidRPr="00F47610">
        <w:rPr>
          <w:rFonts w:ascii="Arial" w:eastAsia="Arial" w:hAnsi="Arial" w:cs="Arial"/>
        </w:rPr>
        <w:t>eb modules for networking and knowledge exchange are developed</w:t>
      </w:r>
      <w:r w:rsidR="00AC5542">
        <w:rPr>
          <w:rFonts w:ascii="Arial" w:eastAsia="Arial" w:hAnsi="Arial" w:cs="Arial"/>
        </w:rPr>
        <w:t>; (viii) d</w:t>
      </w:r>
      <w:r w:rsidR="009E4735" w:rsidRPr="00AC5542">
        <w:rPr>
          <w:rFonts w:ascii="Arial" w:eastAsia="Arial" w:hAnsi="Arial" w:cs="Arial"/>
        </w:rPr>
        <w:t>issemination plan of products and knowledge to stakeholders are designed and implemented</w:t>
      </w:r>
      <w:r w:rsidR="00AC5542">
        <w:rPr>
          <w:rFonts w:ascii="Arial" w:eastAsia="Arial" w:hAnsi="Arial" w:cs="Arial"/>
        </w:rPr>
        <w:t>; (</w:t>
      </w:r>
      <w:r w:rsidR="00B95E6F">
        <w:rPr>
          <w:rFonts w:ascii="Arial" w:eastAsia="Arial" w:hAnsi="Arial" w:cs="Arial"/>
        </w:rPr>
        <w:t xml:space="preserve">ix) </w:t>
      </w:r>
      <w:r w:rsidR="009E4735" w:rsidRPr="00AC5542">
        <w:rPr>
          <w:rFonts w:ascii="Arial" w:eastAsia="Arial" w:hAnsi="Arial" w:cs="Arial"/>
        </w:rPr>
        <w:t>International presentations are delivered to position the Sectoral Action and WOP-Colombia and their achievements</w:t>
      </w:r>
      <w:r w:rsidR="00B95E6F">
        <w:rPr>
          <w:rFonts w:ascii="Arial" w:eastAsia="Arial" w:hAnsi="Arial" w:cs="Arial"/>
        </w:rPr>
        <w:t>; (x) p</w:t>
      </w:r>
      <w:r w:rsidR="009E4735" w:rsidRPr="00B95E6F">
        <w:rPr>
          <w:rFonts w:ascii="Arial" w:eastAsia="Arial" w:hAnsi="Arial" w:cs="Arial"/>
        </w:rPr>
        <w:t>artnerships between water utilities are implemente</w:t>
      </w:r>
      <w:r w:rsidR="00B95E6F">
        <w:rPr>
          <w:rFonts w:ascii="Arial" w:eastAsia="Arial" w:hAnsi="Arial" w:cs="Arial"/>
        </w:rPr>
        <w:t>d; (xi) b</w:t>
      </w:r>
      <w:r w:rsidR="009E4735" w:rsidRPr="00B95E6F">
        <w:rPr>
          <w:rFonts w:ascii="Arial" w:eastAsia="Arial" w:hAnsi="Arial" w:cs="Arial"/>
        </w:rPr>
        <w:t>usiness cases are documented</w:t>
      </w:r>
      <w:r w:rsidR="00B95E6F">
        <w:rPr>
          <w:rFonts w:ascii="Arial" w:eastAsia="Arial" w:hAnsi="Arial" w:cs="Arial"/>
        </w:rPr>
        <w:t>; and (xii) w</w:t>
      </w:r>
      <w:r w:rsidR="009E4735" w:rsidRPr="00B95E6F">
        <w:rPr>
          <w:rFonts w:ascii="Arial" w:eastAsia="Arial" w:hAnsi="Arial" w:cs="Arial"/>
        </w:rPr>
        <w:t xml:space="preserve">orkshops are </w:t>
      </w:r>
      <w:proofErr w:type="spellStart"/>
      <w:r w:rsidR="009E4735" w:rsidRPr="00B95E6F">
        <w:rPr>
          <w:rFonts w:ascii="Arial" w:eastAsia="Arial" w:hAnsi="Arial" w:cs="Arial"/>
        </w:rPr>
        <w:t>organised</w:t>
      </w:r>
      <w:proofErr w:type="spellEnd"/>
      <w:r w:rsidR="009E4735" w:rsidRPr="00B95E6F">
        <w:rPr>
          <w:rFonts w:ascii="Arial" w:eastAsia="Arial" w:hAnsi="Arial" w:cs="Arial"/>
        </w:rPr>
        <w:t xml:space="preserve"> to disseminate WOP-Colombia products and knowledge.</w:t>
      </w:r>
    </w:p>
    <w:p w14:paraId="5B9CA185" w14:textId="77777777" w:rsidR="00046626" w:rsidRPr="00046626" w:rsidRDefault="00046626" w:rsidP="00DA5715">
      <w:pPr>
        <w:pStyle w:val="Prrafodelista"/>
        <w:numPr>
          <w:ilvl w:val="1"/>
          <w:numId w:val="5"/>
        </w:numPr>
        <w:spacing w:before="120" w:after="120" w:line="240" w:lineRule="auto"/>
        <w:ind w:hanging="540"/>
        <w:contextualSpacing w:val="0"/>
        <w:jc w:val="both"/>
        <w:rPr>
          <w:rFonts w:ascii="Arial" w:eastAsia="Arial" w:hAnsi="Arial" w:cs="Arial"/>
        </w:rPr>
      </w:pPr>
      <w:r w:rsidRPr="00046626">
        <w:rPr>
          <w:rFonts w:ascii="Arial" w:eastAsia="Arial" w:hAnsi="Arial" w:cs="Arial"/>
        </w:rPr>
        <w:t xml:space="preserve">The cost of this TC is approximately US$3.208.000, which will be financed with resources from: </w:t>
      </w:r>
    </w:p>
    <w:p w14:paraId="4179E98F" w14:textId="38DC2640" w:rsidR="00C36F89" w:rsidRDefault="00046626" w:rsidP="002D6E75">
      <w:pPr>
        <w:pStyle w:val="Prrafodelista"/>
        <w:numPr>
          <w:ilvl w:val="0"/>
          <w:numId w:val="20"/>
        </w:numPr>
        <w:spacing w:before="120" w:after="120" w:line="240" w:lineRule="auto"/>
        <w:contextualSpacing w:val="0"/>
        <w:jc w:val="both"/>
        <w:rPr>
          <w:rFonts w:ascii="Arial" w:eastAsia="Arial" w:hAnsi="Arial" w:cs="Arial"/>
        </w:rPr>
      </w:pPr>
      <w:r w:rsidRPr="00046626">
        <w:rPr>
          <w:rFonts w:ascii="Arial" w:eastAsia="Arial" w:hAnsi="Arial" w:cs="Arial"/>
        </w:rPr>
        <w:t>A Project Specific Grant (PSG) from the State Secretariat for Economic Affairs SECO – Economic Cooperation and Development. SECO will contribute CHF $2.400.000, equivalent to US</w:t>
      </w:r>
      <w:r w:rsidR="003B1A41">
        <w:rPr>
          <w:rFonts w:ascii="Arial" w:eastAsia="Arial" w:hAnsi="Arial" w:cs="Arial"/>
        </w:rPr>
        <w:t xml:space="preserve"> </w:t>
      </w:r>
      <w:r w:rsidRPr="00046626">
        <w:rPr>
          <w:rFonts w:ascii="Arial" w:eastAsia="Arial" w:hAnsi="Arial" w:cs="Arial"/>
        </w:rPr>
        <w:t xml:space="preserve">$2.640.000 based on the exchange rate of 1.1, </w:t>
      </w:r>
      <w:r w:rsidRPr="00046626">
        <w:rPr>
          <w:rFonts w:ascii="Arial" w:eastAsia="Arial" w:hAnsi="Arial" w:cs="Arial"/>
        </w:rPr>
        <w:lastRenderedPageBreak/>
        <w:t>defined at credit proposal stage. US</w:t>
      </w:r>
      <w:r w:rsidR="003B1A41">
        <w:rPr>
          <w:rFonts w:ascii="Arial" w:eastAsia="Arial" w:hAnsi="Arial" w:cs="Arial"/>
        </w:rPr>
        <w:t xml:space="preserve"> </w:t>
      </w:r>
      <w:r w:rsidRPr="00046626">
        <w:rPr>
          <w:rFonts w:ascii="Arial" w:eastAsia="Arial" w:hAnsi="Arial" w:cs="Arial"/>
        </w:rPr>
        <w:t>$132.000 will be set aside from this contribution as a 5% administration fee. The remaining contribution of US</w:t>
      </w:r>
      <w:r w:rsidR="003B1A41">
        <w:rPr>
          <w:rFonts w:ascii="Arial" w:eastAsia="Arial" w:hAnsi="Arial" w:cs="Arial"/>
        </w:rPr>
        <w:t xml:space="preserve"> </w:t>
      </w:r>
      <w:r w:rsidRPr="00046626">
        <w:rPr>
          <w:rFonts w:ascii="Arial" w:eastAsia="Arial" w:hAnsi="Arial" w:cs="Arial"/>
        </w:rPr>
        <w:t xml:space="preserve">$2.508.000 corresponds to the project amount as indicated in the Budget Table. Final resources in US dollars will be dependent on the exchange rate of the date when the resources are received by the Bank and converted into US Dollars. If a significant adverse fluctuation in the exchange rate reduces the </w:t>
      </w:r>
      <w:proofErr w:type="gramStart"/>
      <w:r w:rsidRPr="00046626">
        <w:rPr>
          <w:rFonts w:ascii="Arial" w:eastAsia="Arial" w:hAnsi="Arial" w:cs="Arial"/>
        </w:rPr>
        <w:t>amount</w:t>
      </w:r>
      <w:proofErr w:type="gramEnd"/>
      <w:r w:rsidRPr="00046626">
        <w:rPr>
          <w:rFonts w:ascii="Arial" w:eastAsia="Arial" w:hAnsi="Arial" w:cs="Arial"/>
        </w:rPr>
        <w:t xml:space="preserve"> of US dollars in this budget and such amount cannot be covered by the contingency line, the project activities will be decreased appropriately, and the budget will be adjusted accordingly by the project team.</w:t>
      </w:r>
    </w:p>
    <w:p w14:paraId="68A5B88A" w14:textId="038257F4" w:rsidR="00783FE0" w:rsidRDefault="008771F0" w:rsidP="002D6E75">
      <w:pPr>
        <w:pStyle w:val="Prrafodelista"/>
        <w:numPr>
          <w:ilvl w:val="0"/>
          <w:numId w:val="20"/>
        </w:numPr>
        <w:spacing w:before="120" w:after="120" w:line="240" w:lineRule="auto"/>
        <w:contextualSpacing w:val="0"/>
        <w:jc w:val="both"/>
        <w:rPr>
          <w:rFonts w:ascii="Arial" w:eastAsia="Arial" w:hAnsi="Arial" w:cs="Arial"/>
        </w:rPr>
      </w:pPr>
      <w:r w:rsidRPr="008771F0">
        <w:rPr>
          <w:rFonts w:ascii="Arial" w:eastAsia="Arial" w:hAnsi="Arial" w:cs="Arial"/>
        </w:rPr>
        <w:t>IDB resources from Ordinary Capital, Strategic Development Program Window 2 – Sustainable Infrastructure (W2B):US$ 600.000,</w:t>
      </w:r>
    </w:p>
    <w:p w14:paraId="4FBCEB06" w14:textId="0C8EA723" w:rsidR="00DA1D8E" w:rsidRDefault="00693493" w:rsidP="002D6E75">
      <w:pPr>
        <w:pStyle w:val="Prrafodelista"/>
        <w:numPr>
          <w:ilvl w:val="0"/>
          <w:numId w:val="20"/>
        </w:numPr>
        <w:rPr>
          <w:rFonts w:ascii="Arial" w:eastAsia="Arial" w:hAnsi="Arial" w:cs="Arial"/>
        </w:rPr>
      </w:pPr>
      <w:r w:rsidRPr="00693493">
        <w:rPr>
          <w:rFonts w:ascii="Arial" w:eastAsia="Arial" w:hAnsi="Arial" w:cs="Arial"/>
        </w:rPr>
        <w:t>and in-</w:t>
      </w:r>
      <w:r w:rsidR="009938D2" w:rsidRPr="00693493">
        <w:rPr>
          <w:rFonts w:ascii="Arial" w:eastAsia="Arial" w:hAnsi="Arial" w:cs="Arial"/>
        </w:rPr>
        <w:t>kind local</w:t>
      </w:r>
      <w:r w:rsidR="00654AEB">
        <w:rPr>
          <w:rStyle w:val="Refdenotaalpie"/>
          <w:rFonts w:ascii="Arial" w:eastAsia="Arial" w:hAnsi="Arial" w:cs="Arial"/>
        </w:rPr>
        <w:footnoteReference w:id="18"/>
      </w:r>
      <w:r w:rsidRPr="00693493">
        <w:rPr>
          <w:rFonts w:ascii="Arial" w:eastAsia="Arial" w:hAnsi="Arial" w:cs="Arial"/>
        </w:rPr>
        <w:t xml:space="preserve"> counterpart of US$100.000. </w:t>
      </w:r>
    </w:p>
    <w:p w14:paraId="53157BC3" w14:textId="77777777" w:rsidR="00DA1D8E" w:rsidRDefault="00DA1D8E" w:rsidP="00DA1D8E">
      <w:pPr>
        <w:pStyle w:val="Prrafodelista"/>
        <w:ind w:left="1080"/>
        <w:rPr>
          <w:rFonts w:ascii="Arial" w:eastAsia="Arial" w:hAnsi="Arial" w:cs="Arial"/>
        </w:rPr>
      </w:pPr>
    </w:p>
    <w:p w14:paraId="5BCBC6CB" w14:textId="41E6E6F9" w:rsidR="00654AEB" w:rsidRPr="00562FCC" w:rsidRDefault="00DA1D8E" w:rsidP="00562FCC">
      <w:pPr>
        <w:pStyle w:val="Prrafodelista"/>
        <w:numPr>
          <w:ilvl w:val="1"/>
          <w:numId w:val="5"/>
        </w:numPr>
        <w:spacing w:line="240" w:lineRule="auto"/>
        <w:jc w:val="both"/>
        <w:rPr>
          <w:rFonts w:ascii="Arial" w:eastAsia="Arial" w:hAnsi="Arial" w:cs="Arial"/>
        </w:rPr>
      </w:pPr>
      <w:r w:rsidRPr="00DA1D8E">
        <w:rPr>
          <w:rFonts w:ascii="Arial" w:eastAsia="Arial" w:hAnsi="Arial" w:cs="Arial"/>
        </w:rPr>
        <w:t xml:space="preserve">The funds will be used to finance the hiring of firms and/or individual consultants against the presentation of verifiable products, as well as the costs of </w:t>
      </w:r>
      <w:proofErr w:type="spellStart"/>
      <w:r w:rsidRPr="00DA1D8E">
        <w:rPr>
          <w:rFonts w:ascii="Arial" w:eastAsia="Arial" w:hAnsi="Arial" w:cs="Arial"/>
        </w:rPr>
        <w:t>mobilisation</w:t>
      </w:r>
      <w:proofErr w:type="spellEnd"/>
      <w:r w:rsidRPr="00DA1D8E">
        <w:rPr>
          <w:rFonts w:ascii="Arial" w:eastAsia="Arial" w:hAnsi="Arial" w:cs="Arial"/>
        </w:rPr>
        <w:t xml:space="preserve"> expenses related to the performance of their functions and other non-consulting services. The detail of the costs is presented below, the detailed budget is presented in Annex </w:t>
      </w:r>
      <w:r w:rsidRPr="10AE3A21">
        <w:rPr>
          <w:rFonts w:ascii="Arial" w:eastAsia="Arial" w:hAnsi="Arial" w:cs="Arial"/>
        </w:rPr>
        <w:t>V</w:t>
      </w:r>
      <w:r w:rsidR="00FA6C11" w:rsidRPr="10AE3A21">
        <w:rPr>
          <w:rFonts w:ascii="Arial" w:eastAsia="Arial" w:hAnsi="Arial" w:cs="Arial"/>
        </w:rPr>
        <w:t>I</w:t>
      </w:r>
      <w:r>
        <w:rPr>
          <w:rFonts w:ascii="Arial" w:eastAsia="Arial" w:hAnsi="Arial" w:cs="Arial"/>
        </w:rPr>
        <w:t>.</w:t>
      </w:r>
    </w:p>
    <w:p w14:paraId="3BBAB203" w14:textId="790405BE" w:rsidR="00F6363D" w:rsidRPr="00654AEB" w:rsidRDefault="00F6363D" w:rsidP="00654AEB">
      <w:pPr>
        <w:pStyle w:val="Prrafodelista"/>
        <w:spacing w:before="60" w:after="0" w:line="240" w:lineRule="auto"/>
        <w:ind w:left="360"/>
        <w:contextualSpacing w:val="0"/>
        <w:jc w:val="center"/>
        <w:rPr>
          <w:rFonts w:ascii="Arial" w:eastAsia="Arial" w:hAnsi="Arial" w:cs="Arial"/>
          <w:b/>
          <w:bCs/>
        </w:rPr>
      </w:pPr>
      <w:r w:rsidRPr="26B9D784">
        <w:rPr>
          <w:rFonts w:ascii="Arial" w:eastAsia="Arial" w:hAnsi="Arial" w:cs="Arial"/>
          <w:b/>
          <w:bCs/>
        </w:rPr>
        <w:t>Indicative Budget</w:t>
      </w:r>
      <w:r w:rsidR="00F43B56">
        <w:rPr>
          <w:rFonts w:ascii="Arial" w:eastAsia="Arial" w:hAnsi="Arial" w:cs="Arial"/>
          <w:b/>
          <w:bCs/>
        </w:rPr>
        <w:t>*</w:t>
      </w:r>
    </w:p>
    <w:tbl>
      <w:tblPr>
        <w:tblStyle w:val="1"/>
        <w:tblpPr w:leftFromText="141" w:rightFromText="141" w:vertAnchor="text" w:horzAnchor="margin" w:tblpXSpec="right" w:tblpY="447"/>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82"/>
        <w:gridCol w:w="1075"/>
        <w:gridCol w:w="1009"/>
        <w:gridCol w:w="896"/>
        <w:gridCol w:w="1391"/>
        <w:gridCol w:w="1077"/>
      </w:tblGrid>
      <w:tr w:rsidR="0018722D" w:rsidRPr="002166A9" w14:paraId="0B93A41A" w14:textId="77777777" w:rsidTr="00562FCC">
        <w:trPr>
          <w:trHeight w:val="300"/>
        </w:trPr>
        <w:tc>
          <w:tcPr>
            <w:tcW w:w="1844" w:type="pct"/>
            <w:vMerge w:val="restart"/>
            <w:shd w:val="clear" w:color="auto" w:fill="D9D9D9" w:themeFill="background1" w:themeFillShade="D9"/>
            <w:tcMar>
              <w:top w:w="0" w:type="dxa"/>
              <w:left w:w="45" w:type="dxa"/>
              <w:bottom w:w="0" w:type="dxa"/>
              <w:right w:w="45" w:type="dxa"/>
            </w:tcMar>
          </w:tcPr>
          <w:p w14:paraId="62769F8B" w14:textId="77777777" w:rsidR="00EF33BA" w:rsidRDefault="00EF33BA" w:rsidP="00EF33BA">
            <w:pPr>
              <w:spacing w:after="0" w:line="240" w:lineRule="auto"/>
              <w:ind w:right="-47"/>
              <w:jc w:val="center"/>
              <w:rPr>
                <w:rFonts w:ascii="Arial" w:hAnsi="Arial" w:cs="Arial"/>
                <w:b/>
                <w:sz w:val="20"/>
                <w:szCs w:val="20"/>
              </w:rPr>
            </w:pPr>
          </w:p>
          <w:p w14:paraId="7EC8C732" w14:textId="77777777" w:rsidR="00EF33BA" w:rsidRDefault="00EF33BA" w:rsidP="00EF33BA">
            <w:pPr>
              <w:spacing w:after="0" w:line="240" w:lineRule="auto"/>
              <w:ind w:right="-47"/>
              <w:jc w:val="center"/>
              <w:rPr>
                <w:rFonts w:ascii="Arial" w:hAnsi="Arial" w:cs="Arial"/>
                <w:b/>
                <w:sz w:val="20"/>
                <w:szCs w:val="20"/>
              </w:rPr>
            </w:pPr>
          </w:p>
          <w:p w14:paraId="7A5A5F1C" w14:textId="7BD39359" w:rsidR="0018722D" w:rsidRPr="002166A9" w:rsidRDefault="0018722D" w:rsidP="00EF33BA">
            <w:pPr>
              <w:spacing w:after="0" w:line="240" w:lineRule="auto"/>
              <w:ind w:right="-47"/>
              <w:jc w:val="center"/>
              <w:rPr>
                <w:rFonts w:ascii="Arial" w:hAnsi="Arial" w:cs="Arial"/>
                <w:b/>
                <w:sz w:val="20"/>
                <w:szCs w:val="20"/>
              </w:rPr>
            </w:pPr>
            <w:r w:rsidRPr="002166A9">
              <w:rPr>
                <w:rFonts w:ascii="Arial" w:hAnsi="Arial" w:cs="Arial"/>
                <w:b/>
                <w:sz w:val="20"/>
                <w:szCs w:val="20"/>
              </w:rPr>
              <w:t>Activity/Component</w:t>
            </w:r>
          </w:p>
        </w:tc>
        <w:tc>
          <w:tcPr>
            <w:tcW w:w="1208" w:type="pct"/>
            <w:gridSpan w:val="2"/>
            <w:shd w:val="clear" w:color="auto" w:fill="D9D9D9" w:themeFill="background1" w:themeFillShade="D9"/>
            <w:tcMar>
              <w:top w:w="0" w:type="dxa"/>
              <w:left w:w="45" w:type="dxa"/>
              <w:bottom w:w="0" w:type="dxa"/>
              <w:right w:w="45" w:type="dxa"/>
            </w:tcMar>
          </w:tcPr>
          <w:p w14:paraId="77FFA5A3" w14:textId="54BAE2DF" w:rsidR="0018722D" w:rsidRDefault="0018722D" w:rsidP="00EF33BA">
            <w:pPr>
              <w:spacing w:after="0" w:line="240" w:lineRule="auto"/>
              <w:ind w:right="-47"/>
              <w:jc w:val="center"/>
              <w:rPr>
                <w:rFonts w:ascii="Arial" w:hAnsi="Arial" w:cs="Arial"/>
                <w:b/>
                <w:sz w:val="20"/>
                <w:szCs w:val="20"/>
              </w:rPr>
            </w:pPr>
            <w:r w:rsidRPr="002166A9">
              <w:rPr>
                <w:rFonts w:ascii="Arial" w:hAnsi="Arial" w:cs="Arial"/>
                <w:b/>
                <w:sz w:val="20"/>
                <w:szCs w:val="20"/>
              </w:rPr>
              <w:t>SECO</w:t>
            </w:r>
          </w:p>
          <w:p w14:paraId="258250C8" w14:textId="77777777" w:rsidR="0018722D" w:rsidRPr="002166A9" w:rsidRDefault="0018722D" w:rsidP="00EF33BA">
            <w:pPr>
              <w:spacing w:after="0" w:line="240" w:lineRule="auto"/>
              <w:ind w:right="-47"/>
              <w:jc w:val="center"/>
              <w:rPr>
                <w:rFonts w:ascii="Arial" w:hAnsi="Arial" w:cs="Arial"/>
                <w:b/>
                <w:sz w:val="20"/>
                <w:szCs w:val="20"/>
              </w:rPr>
            </w:pPr>
            <w:r>
              <w:rPr>
                <w:rFonts w:ascii="Arial" w:hAnsi="Arial" w:cs="Arial"/>
                <w:b/>
                <w:sz w:val="20"/>
                <w:szCs w:val="20"/>
              </w:rPr>
              <w:t>(PSC)</w:t>
            </w:r>
          </w:p>
        </w:tc>
        <w:tc>
          <w:tcPr>
            <w:tcW w:w="519" w:type="pct"/>
            <w:vMerge w:val="restart"/>
            <w:shd w:val="clear" w:color="auto" w:fill="D9D9D9" w:themeFill="background1" w:themeFillShade="D9"/>
            <w:tcMar>
              <w:top w:w="0" w:type="dxa"/>
              <w:left w:w="45" w:type="dxa"/>
              <w:bottom w:w="0" w:type="dxa"/>
              <w:right w:w="45" w:type="dxa"/>
            </w:tcMar>
          </w:tcPr>
          <w:p w14:paraId="3D11DE69" w14:textId="77777777" w:rsidR="00EF33BA" w:rsidRDefault="00EF33BA" w:rsidP="00EF33BA">
            <w:pPr>
              <w:spacing w:after="0" w:line="240" w:lineRule="auto"/>
              <w:ind w:right="-47"/>
              <w:jc w:val="center"/>
              <w:rPr>
                <w:rFonts w:ascii="Arial" w:hAnsi="Arial" w:cs="Arial"/>
                <w:b/>
                <w:sz w:val="20"/>
                <w:szCs w:val="20"/>
              </w:rPr>
            </w:pPr>
          </w:p>
          <w:p w14:paraId="02B9888F" w14:textId="77777777" w:rsidR="00EF33BA" w:rsidRDefault="00EF33BA" w:rsidP="00EF33BA">
            <w:pPr>
              <w:spacing w:after="0" w:line="240" w:lineRule="auto"/>
              <w:ind w:right="-47"/>
              <w:jc w:val="center"/>
              <w:rPr>
                <w:rFonts w:ascii="Arial" w:hAnsi="Arial" w:cs="Arial"/>
                <w:b/>
                <w:sz w:val="20"/>
                <w:szCs w:val="20"/>
              </w:rPr>
            </w:pPr>
          </w:p>
          <w:p w14:paraId="1361D829" w14:textId="3A3AF443" w:rsidR="0018722D" w:rsidRPr="002166A9" w:rsidRDefault="0018722D" w:rsidP="00EF33BA">
            <w:pPr>
              <w:spacing w:after="0" w:line="240" w:lineRule="auto"/>
              <w:ind w:right="-47"/>
              <w:jc w:val="center"/>
              <w:rPr>
                <w:rFonts w:ascii="Arial" w:hAnsi="Arial" w:cs="Arial"/>
                <w:b/>
                <w:sz w:val="20"/>
                <w:szCs w:val="20"/>
              </w:rPr>
            </w:pPr>
            <w:r w:rsidRPr="002166A9">
              <w:rPr>
                <w:rFonts w:ascii="Arial" w:hAnsi="Arial" w:cs="Arial"/>
                <w:b/>
                <w:sz w:val="20"/>
                <w:szCs w:val="20"/>
              </w:rPr>
              <w:t>IDB</w:t>
            </w:r>
            <w:r>
              <w:rPr>
                <w:rFonts w:ascii="Arial" w:hAnsi="Arial" w:cs="Arial"/>
                <w:b/>
                <w:sz w:val="20"/>
                <w:szCs w:val="20"/>
              </w:rPr>
              <w:t xml:space="preserve"> (W2B)</w:t>
            </w:r>
          </w:p>
        </w:tc>
        <w:tc>
          <w:tcPr>
            <w:tcW w:w="806" w:type="pct"/>
            <w:vMerge w:val="restart"/>
            <w:shd w:val="clear" w:color="auto" w:fill="D9D9D9" w:themeFill="background1" w:themeFillShade="D9"/>
            <w:tcMar>
              <w:top w:w="0" w:type="dxa"/>
              <w:left w:w="45" w:type="dxa"/>
              <w:bottom w:w="0" w:type="dxa"/>
              <w:right w:w="45" w:type="dxa"/>
            </w:tcMar>
          </w:tcPr>
          <w:p w14:paraId="796EFAE7" w14:textId="77777777" w:rsidR="00EF33BA" w:rsidRDefault="00EF33BA" w:rsidP="00EF33BA">
            <w:pPr>
              <w:spacing w:after="0" w:line="240" w:lineRule="auto"/>
              <w:ind w:right="-47"/>
              <w:jc w:val="center"/>
              <w:rPr>
                <w:rFonts w:ascii="Arial" w:hAnsi="Arial" w:cs="Arial"/>
                <w:b/>
                <w:sz w:val="20"/>
                <w:szCs w:val="20"/>
              </w:rPr>
            </w:pPr>
          </w:p>
          <w:p w14:paraId="74408F9E" w14:textId="77777777" w:rsidR="00EF33BA" w:rsidRDefault="00EF33BA" w:rsidP="00EF33BA">
            <w:pPr>
              <w:spacing w:after="0" w:line="240" w:lineRule="auto"/>
              <w:ind w:right="-47"/>
              <w:jc w:val="center"/>
              <w:rPr>
                <w:rFonts w:ascii="Arial" w:hAnsi="Arial" w:cs="Arial"/>
                <w:b/>
                <w:sz w:val="20"/>
                <w:szCs w:val="20"/>
              </w:rPr>
            </w:pPr>
          </w:p>
          <w:p w14:paraId="2BAE45A8" w14:textId="5776820A" w:rsidR="0018722D" w:rsidRPr="002166A9" w:rsidRDefault="0018722D" w:rsidP="00EF33BA">
            <w:pPr>
              <w:spacing w:after="0" w:line="240" w:lineRule="auto"/>
              <w:ind w:right="-47"/>
              <w:jc w:val="center"/>
              <w:rPr>
                <w:rFonts w:ascii="Arial" w:hAnsi="Arial" w:cs="Arial"/>
                <w:b/>
                <w:sz w:val="20"/>
                <w:szCs w:val="20"/>
              </w:rPr>
            </w:pPr>
            <w:r w:rsidRPr="002166A9">
              <w:rPr>
                <w:rFonts w:ascii="Arial" w:hAnsi="Arial" w:cs="Arial"/>
                <w:b/>
                <w:sz w:val="20"/>
                <w:szCs w:val="20"/>
              </w:rPr>
              <w:t>Counterpart</w:t>
            </w:r>
            <w:r w:rsidR="00F43B56">
              <w:rPr>
                <w:rFonts w:ascii="Arial" w:hAnsi="Arial" w:cs="Arial"/>
                <w:b/>
                <w:sz w:val="20"/>
                <w:szCs w:val="20"/>
              </w:rPr>
              <w:t>*</w:t>
            </w:r>
            <w:r w:rsidRPr="002166A9">
              <w:rPr>
                <w:rFonts w:ascii="Arial" w:hAnsi="Arial" w:cs="Arial"/>
                <w:b/>
                <w:sz w:val="20"/>
                <w:szCs w:val="20"/>
              </w:rPr>
              <w:t>*</w:t>
            </w:r>
          </w:p>
        </w:tc>
        <w:tc>
          <w:tcPr>
            <w:tcW w:w="624" w:type="pct"/>
            <w:vMerge w:val="restart"/>
            <w:shd w:val="clear" w:color="auto" w:fill="D9D9D9" w:themeFill="background1" w:themeFillShade="D9"/>
            <w:tcMar>
              <w:top w:w="0" w:type="dxa"/>
              <w:left w:w="45" w:type="dxa"/>
              <w:bottom w:w="0" w:type="dxa"/>
              <w:right w:w="45" w:type="dxa"/>
            </w:tcMar>
          </w:tcPr>
          <w:p w14:paraId="1CF3DCBA" w14:textId="77777777" w:rsidR="00EF33BA" w:rsidRDefault="00EF33BA" w:rsidP="00EF33BA">
            <w:pPr>
              <w:spacing w:after="0" w:line="240" w:lineRule="auto"/>
              <w:ind w:right="97"/>
              <w:jc w:val="center"/>
              <w:rPr>
                <w:rFonts w:ascii="Arial" w:hAnsi="Arial" w:cs="Arial"/>
                <w:b/>
                <w:sz w:val="20"/>
                <w:szCs w:val="20"/>
              </w:rPr>
            </w:pPr>
          </w:p>
          <w:p w14:paraId="0987CFC8" w14:textId="77777777" w:rsidR="00EF33BA" w:rsidRDefault="00EF33BA" w:rsidP="00EF33BA">
            <w:pPr>
              <w:spacing w:after="0" w:line="240" w:lineRule="auto"/>
              <w:ind w:right="97"/>
              <w:jc w:val="center"/>
              <w:rPr>
                <w:rFonts w:ascii="Arial" w:hAnsi="Arial" w:cs="Arial"/>
                <w:b/>
                <w:sz w:val="20"/>
                <w:szCs w:val="20"/>
              </w:rPr>
            </w:pPr>
          </w:p>
          <w:p w14:paraId="57B310AD" w14:textId="6BD29AC1" w:rsidR="0018722D" w:rsidRPr="002166A9" w:rsidRDefault="00EF33BA" w:rsidP="00EF33BA">
            <w:pPr>
              <w:spacing w:after="0" w:line="240" w:lineRule="auto"/>
              <w:ind w:right="97"/>
              <w:jc w:val="center"/>
              <w:rPr>
                <w:rFonts w:ascii="Arial" w:hAnsi="Arial" w:cs="Arial"/>
                <w:b/>
                <w:sz w:val="20"/>
                <w:szCs w:val="20"/>
              </w:rPr>
            </w:pPr>
            <w:r w:rsidRPr="002166A9">
              <w:rPr>
                <w:rFonts w:ascii="Arial" w:hAnsi="Arial" w:cs="Arial"/>
                <w:b/>
                <w:sz w:val="20"/>
                <w:szCs w:val="20"/>
              </w:rPr>
              <w:t>Total</w:t>
            </w:r>
          </w:p>
        </w:tc>
      </w:tr>
      <w:tr w:rsidR="0018722D" w:rsidRPr="002166A9" w14:paraId="7925B6EC" w14:textId="77777777" w:rsidTr="00562FCC">
        <w:trPr>
          <w:trHeight w:val="515"/>
        </w:trPr>
        <w:tc>
          <w:tcPr>
            <w:tcW w:w="1844" w:type="pct"/>
            <w:vMerge/>
            <w:tcMar>
              <w:top w:w="0" w:type="dxa"/>
              <w:left w:w="45" w:type="dxa"/>
              <w:bottom w:w="0" w:type="dxa"/>
              <w:right w:w="45" w:type="dxa"/>
            </w:tcMar>
          </w:tcPr>
          <w:p w14:paraId="3A0B3876" w14:textId="77777777" w:rsidR="0018722D" w:rsidRPr="002166A9" w:rsidRDefault="0018722D" w:rsidP="0018722D">
            <w:pPr>
              <w:spacing w:after="0" w:line="240" w:lineRule="auto"/>
              <w:ind w:right="-47"/>
              <w:jc w:val="center"/>
              <w:rPr>
                <w:rFonts w:ascii="Arial" w:hAnsi="Arial" w:cs="Arial"/>
                <w:b/>
                <w:sz w:val="20"/>
                <w:szCs w:val="20"/>
              </w:rPr>
            </w:pPr>
          </w:p>
        </w:tc>
        <w:tc>
          <w:tcPr>
            <w:tcW w:w="623" w:type="pct"/>
            <w:tcMar>
              <w:top w:w="0" w:type="dxa"/>
              <w:left w:w="45" w:type="dxa"/>
              <w:bottom w:w="0" w:type="dxa"/>
              <w:right w:w="45" w:type="dxa"/>
            </w:tcMar>
          </w:tcPr>
          <w:p w14:paraId="5B81D77D" w14:textId="77777777" w:rsidR="0018722D" w:rsidRPr="00EF33BA" w:rsidRDefault="0018722D" w:rsidP="0018722D">
            <w:pPr>
              <w:spacing w:after="0" w:line="240" w:lineRule="auto"/>
              <w:ind w:right="-47"/>
              <w:jc w:val="center"/>
              <w:rPr>
                <w:rFonts w:ascii="Arial" w:hAnsi="Arial" w:cs="Arial"/>
                <w:b/>
                <w:sz w:val="16"/>
                <w:szCs w:val="16"/>
              </w:rPr>
            </w:pPr>
            <w:r w:rsidRPr="00EF33BA">
              <w:rPr>
                <w:rFonts w:ascii="Arial" w:hAnsi="Arial" w:cs="Arial"/>
                <w:b/>
                <w:sz w:val="16"/>
                <w:szCs w:val="16"/>
              </w:rPr>
              <w:t>Executed by</w:t>
            </w:r>
          </w:p>
          <w:p w14:paraId="1F34C156" w14:textId="77777777" w:rsidR="0018722D" w:rsidRPr="00EF33BA" w:rsidRDefault="0018722D" w:rsidP="0018722D">
            <w:pPr>
              <w:spacing w:after="0" w:line="240" w:lineRule="auto"/>
              <w:ind w:right="-47"/>
              <w:jc w:val="center"/>
              <w:rPr>
                <w:rFonts w:ascii="Arial" w:hAnsi="Arial" w:cs="Arial"/>
                <w:b/>
                <w:sz w:val="16"/>
                <w:szCs w:val="16"/>
              </w:rPr>
            </w:pPr>
            <w:r w:rsidRPr="00EF33BA">
              <w:rPr>
                <w:rFonts w:ascii="Arial" w:hAnsi="Arial" w:cs="Arial"/>
                <w:b/>
                <w:sz w:val="16"/>
                <w:szCs w:val="16"/>
              </w:rPr>
              <w:t>IDB</w:t>
            </w:r>
          </w:p>
        </w:tc>
        <w:tc>
          <w:tcPr>
            <w:tcW w:w="585" w:type="pct"/>
          </w:tcPr>
          <w:p w14:paraId="45E9BB6F" w14:textId="77777777" w:rsidR="0018722D" w:rsidRPr="00EF33BA" w:rsidRDefault="0018722D" w:rsidP="0018722D">
            <w:pPr>
              <w:spacing w:after="0" w:line="240" w:lineRule="auto"/>
              <w:ind w:right="136"/>
              <w:jc w:val="center"/>
              <w:rPr>
                <w:rFonts w:ascii="Arial" w:hAnsi="Arial" w:cs="Arial"/>
                <w:b/>
                <w:sz w:val="16"/>
                <w:szCs w:val="16"/>
              </w:rPr>
            </w:pPr>
            <w:r w:rsidRPr="00EF33BA">
              <w:rPr>
                <w:rFonts w:ascii="Arial" w:hAnsi="Arial" w:cs="Arial"/>
                <w:b/>
                <w:sz w:val="16"/>
                <w:szCs w:val="16"/>
              </w:rPr>
              <w:t>Executed by ACODAL</w:t>
            </w:r>
          </w:p>
        </w:tc>
        <w:tc>
          <w:tcPr>
            <w:tcW w:w="519" w:type="pct"/>
            <w:vMerge/>
            <w:tcMar>
              <w:top w:w="0" w:type="dxa"/>
              <w:left w:w="45" w:type="dxa"/>
              <w:bottom w:w="0" w:type="dxa"/>
              <w:right w:w="45" w:type="dxa"/>
            </w:tcMar>
          </w:tcPr>
          <w:p w14:paraId="32C87E32" w14:textId="63ECB371" w:rsidR="0018722D" w:rsidRPr="002166A9" w:rsidRDefault="0018722D" w:rsidP="0018722D">
            <w:pPr>
              <w:spacing w:after="0" w:line="240" w:lineRule="auto"/>
              <w:ind w:right="-47"/>
              <w:jc w:val="center"/>
              <w:rPr>
                <w:rFonts w:ascii="Arial" w:hAnsi="Arial" w:cs="Arial"/>
                <w:b/>
                <w:sz w:val="20"/>
                <w:szCs w:val="20"/>
              </w:rPr>
            </w:pPr>
          </w:p>
        </w:tc>
        <w:tc>
          <w:tcPr>
            <w:tcW w:w="806" w:type="pct"/>
            <w:vMerge/>
            <w:tcMar>
              <w:top w:w="0" w:type="dxa"/>
              <w:left w:w="45" w:type="dxa"/>
              <w:bottom w:w="0" w:type="dxa"/>
              <w:right w:w="45" w:type="dxa"/>
            </w:tcMar>
          </w:tcPr>
          <w:p w14:paraId="509E1B15" w14:textId="77777777" w:rsidR="0018722D" w:rsidRPr="002166A9" w:rsidRDefault="0018722D" w:rsidP="0018722D">
            <w:pPr>
              <w:spacing w:after="0" w:line="240" w:lineRule="auto"/>
              <w:ind w:left="-187" w:right="99"/>
              <w:jc w:val="right"/>
              <w:rPr>
                <w:rFonts w:ascii="Arial" w:hAnsi="Arial" w:cs="Arial"/>
                <w:b/>
                <w:sz w:val="20"/>
                <w:szCs w:val="20"/>
              </w:rPr>
            </w:pPr>
          </w:p>
        </w:tc>
        <w:tc>
          <w:tcPr>
            <w:tcW w:w="624" w:type="pct"/>
            <w:vMerge/>
            <w:tcMar>
              <w:top w:w="0" w:type="dxa"/>
              <w:left w:w="45" w:type="dxa"/>
              <w:bottom w:w="0" w:type="dxa"/>
              <w:right w:w="45" w:type="dxa"/>
            </w:tcMar>
          </w:tcPr>
          <w:p w14:paraId="5C81C314" w14:textId="77777777" w:rsidR="0018722D" w:rsidRPr="002166A9" w:rsidRDefault="0018722D" w:rsidP="0018722D">
            <w:pPr>
              <w:spacing w:after="0" w:line="240" w:lineRule="auto"/>
              <w:ind w:right="97"/>
              <w:jc w:val="right"/>
              <w:rPr>
                <w:rFonts w:ascii="Arial" w:hAnsi="Arial" w:cs="Arial"/>
                <w:b/>
                <w:sz w:val="20"/>
                <w:szCs w:val="20"/>
              </w:rPr>
            </w:pPr>
          </w:p>
        </w:tc>
      </w:tr>
      <w:tr w:rsidR="0018722D" w:rsidRPr="002166A9" w14:paraId="0DD59D09" w14:textId="77777777" w:rsidTr="00562FCC">
        <w:trPr>
          <w:trHeight w:val="529"/>
        </w:trPr>
        <w:tc>
          <w:tcPr>
            <w:tcW w:w="1844" w:type="pct"/>
            <w:tcMar>
              <w:top w:w="0" w:type="dxa"/>
              <w:left w:w="45" w:type="dxa"/>
              <w:bottom w:w="0" w:type="dxa"/>
              <w:right w:w="45" w:type="dxa"/>
            </w:tcMar>
          </w:tcPr>
          <w:p w14:paraId="36E761B6" w14:textId="77777777" w:rsidR="0018722D" w:rsidRPr="002166A9" w:rsidRDefault="0018722D" w:rsidP="0018722D">
            <w:pPr>
              <w:spacing w:after="0" w:line="240" w:lineRule="auto"/>
              <w:ind w:right="-47"/>
              <w:rPr>
                <w:rFonts w:ascii="Arial" w:eastAsia="Arial" w:hAnsi="Arial" w:cs="Arial"/>
                <w:sz w:val="20"/>
                <w:szCs w:val="20"/>
              </w:rPr>
            </w:pPr>
            <w:r w:rsidRPr="002166A9">
              <w:rPr>
                <w:rFonts w:ascii="Arial" w:eastAsia="Arial" w:hAnsi="Arial" w:cs="Arial"/>
                <w:sz w:val="20"/>
                <w:szCs w:val="20"/>
              </w:rPr>
              <w:t xml:space="preserve">Component 1: </w:t>
            </w:r>
            <w:r w:rsidRPr="002166A9">
              <w:rPr>
                <w:rFonts w:ascii="Arial" w:hAnsi="Arial" w:cs="Arial"/>
                <w:b/>
                <w:sz w:val="20"/>
                <w:szCs w:val="20"/>
                <w:lang w:val="en-GB"/>
              </w:rPr>
              <w:t xml:space="preserve"> </w:t>
            </w:r>
            <w:r w:rsidRPr="002166A9">
              <w:rPr>
                <w:rFonts w:ascii="Arial" w:hAnsi="Arial" w:cs="Arial"/>
                <w:bCs/>
                <w:sz w:val="20"/>
                <w:szCs w:val="20"/>
                <w:lang w:val="en-GB"/>
              </w:rPr>
              <w:t>Institutionalisation of the Sectoral Action within ANDESCO</w:t>
            </w:r>
          </w:p>
        </w:tc>
        <w:tc>
          <w:tcPr>
            <w:tcW w:w="623" w:type="pct"/>
            <w:tcMar>
              <w:top w:w="0" w:type="dxa"/>
              <w:left w:w="45" w:type="dxa"/>
              <w:bottom w:w="0" w:type="dxa"/>
              <w:right w:w="45" w:type="dxa"/>
            </w:tcMar>
          </w:tcPr>
          <w:p w14:paraId="659C6532" w14:textId="77777777" w:rsidR="0018722D" w:rsidRPr="005F5FEB" w:rsidRDefault="0018722D" w:rsidP="0018722D">
            <w:pPr>
              <w:spacing w:after="0" w:line="240" w:lineRule="auto"/>
              <w:ind w:right="95"/>
              <w:jc w:val="right"/>
              <w:rPr>
                <w:rFonts w:ascii="Arial" w:eastAsia="Arial" w:hAnsi="Arial" w:cs="Arial"/>
                <w:sz w:val="20"/>
                <w:szCs w:val="20"/>
              </w:rPr>
            </w:pPr>
            <w:r w:rsidRPr="005F5FEB">
              <w:rPr>
                <w:rFonts w:ascii="Arial" w:eastAsia="Arial" w:hAnsi="Arial" w:cs="Arial"/>
                <w:sz w:val="20"/>
                <w:szCs w:val="20"/>
              </w:rPr>
              <w:t xml:space="preserve">1.061.000 </w:t>
            </w:r>
          </w:p>
          <w:p w14:paraId="3BE32673" w14:textId="77777777" w:rsidR="0018722D" w:rsidRPr="005F5FEB" w:rsidRDefault="0018722D" w:rsidP="0018722D">
            <w:pPr>
              <w:spacing w:after="0" w:line="240" w:lineRule="auto"/>
              <w:ind w:right="95"/>
              <w:jc w:val="right"/>
              <w:rPr>
                <w:rFonts w:ascii="Arial" w:eastAsia="Arial" w:hAnsi="Arial" w:cs="Arial"/>
                <w:sz w:val="20"/>
                <w:szCs w:val="20"/>
              </w:rPr>
            </w:pPr>
          </w:p>
        </w:tc>
        <w:tc>
          <w:tcPr>
            <w:tcW w:w="585" w:type="pct"/>
          </w:tcPr>
          <w:p w14:paraId="1446EA37" w14:textId="77777777" w:rsidR="0018722D" w:rsidRPr="005F5FEB" w:rsidRDefault="0018722D" w:rsidP="0018722D">
            <w:pPr>
              <w:spacing w:after="0" w:line="240" w:lineRule="auto"/>
              <w:ind w:right="136"/>
              <w:jc w:val="right"/>
              <w:rPr>
                <w:rFonts w:ascii="Arial" w:eastAsia="Arial" w:hAnsi="Arial" w:cs="Arial"/>
                <w:sz w:val="20"/>
                <w:szCs w:val="20"/>
              </w:rPr>
            </w:pPr>
          </w:p>
        </w:tc>
        <w:tc>
          <w:tcPr>
            <w:tcW w:w="519" w:type="pct"/>
            <w:tcMar>
              <w:top w:w="0" w:type="dxa"/>
              <w:left w:w="45" w:type="dxa"/>
              <w:bottom w:w="0" w:type="dxa"/>
              <w:right w:w="45" w:type="dxa"/>
            </w:tcMar>
          </w:tcPr>
          <w:p w14:paraId="7F93EAB0" w14:textId="77777777" w:rsidR="0018722D" w:rsidRPr="002166A9" w:rsidRDefault="0018722D" w:rsidP="00EF33BA">
            <w:pPr>
              <w:spacing w:after="0" w:line="240" w:lineRule="auto"/>
              <w:ind w:right="82"/>
              <w:jc w:val="right"/>
              <w:rPr>
                <w:rFonts w:ascii="Arial" w:eastAsia="Arial" w:hAnsi="Arial" w:cs="Arial"/>
                <w:sz w:val="20"/>
                <w:szCs w:val="20"/>
              </w:rPr>
            </w:pPr>
            <w:r w:rsidRPr="002166A9">
              <w:rPr>
                <w:rFonts w:ascii="Arial" w:eastAsia="Arial" w:hAnsi="Arial" w:cs="Arial"/>
                <w:sz w:val="20"/>
                <w:szCs w:val="20"/>
              </w:rPr>
              <w:t>600</w:t>
            </w:r>
            <w:r>
              <w:rPr>
                <w:rFonts w:ascii="Arial" w:eastAsia="Arial" w:hAnsi="Arial" w:cs="Arial"/>
                <w:sz w:val="20"/>
                <w:szCs w:val="20"/>
              </w:rPr>
              <w:t>.</w:t>
            </w:r>
            <w:r w:rsidRPr="002166A9">
              <w:rPr>
                <w:rFonts w:ascii="Arial" w:eastAsia="Arial" w:hAnsi="Arial" w:cs="Arial"/>
                <w:sz w:val="20"/>
                <w:szCs w:val="20"/>
              </w:rPr>
              <w:t>000</w:t>
            </w:r>
          </w:p>
        </w:tc>
        <w:tc>
          <w:tcPr>
            <w:tcW w:w="806" w:type="pct"/>
            <w:tcMar>
              <w:top w:w="0" w:type="dxa"/>
              <w:left w:w="45" w:type="dxa"/>
              <w:bottom w:w="0" w:type="dxa"/>
              <w:right w:w="45" w:type="dxa"/>
            </w:tcMar>
          </w:tcPr>
          <w:p w14:paraId="689F504E" w14:textId="77777777" w:rsidR="0018722D" w:rsidRPr="002166A9" w:rsidRDefault="0018722D" w:rsidP="00EF33BA">
            <w:pPr>
              <w:spacing w:after="0" w:line="240" w:lineRule="auto"/>
              <w:ind w:left="-187" w:right="99"/>
              <w:jc w:val="right"/>
              <w:rPr>
                <w:rFonts w:ascii="Arial" w:eastAsia="Arial" w:hAnsi="Arial" w:cs="Arial"/>
                <w:sz w:val="20"/>
                <w:szCs w:val="20"/>
              </w:rPr>
            </w:pPr>
            <w:r w:rsidRPr="002166A9">
              <w:rPr>
                <w:rFonts w:ascii="Arial" w:eastAsia="Arial" w:hAnsi="Arial" w:cs="Arial"/>
                <w:sz w:val="20"/>
                <w:szCs w:val="20"/>
              </w:rPr>
              <w:t>50</w:t>
            </w:r>
            <w:r>
              <w:rPr>
                <w:rFonts w:ascii="Arial" w:eastAsia="Arial" w:hAnsi="Arial" w:cs="Arial"/>
                <w:sz w:val="20"/>
                <w:szCs w:val="20"/>
              </w:rPr>
              <w:t>.</w:t>
            </w:r>
            <w:r w:rsidRPr="002166A9">
              <w:rPr>
                <w:rFonts w:ascii="Arial" w:eastAsia="Arial" w:hAnsi="Arial" w:cs="Arial"/>
                <w:sz w:val="20"/>
                <w:szCs w:val="20"/>
              </w:rPr>
              <w:t xml:space="preserve">000 </w:t>
            </w:r>
          </w:p>
        </w:tc>
        <w:tc>
          <w:tcPr>
            <w:tcW w:w="624" w:type="pct"/>
            <w:tcMar>
              <w:top w:w="0" w:type="dxa"/>
              <w:left w:w="45" w:type="dxa"/>
              <w:bottom w:w="0" w:type="dxa"/>
              <w:right w:w="45" w:type="dxa"/>
            </w:tcMar>
          </w:tcPr>
          <w:p w14:paraId="42D8AF9B" w14:textId="0C7F38F2" w:rsidR="0018722D" w:rsidRPr="002166A9" w:rsidRDefault="0018722D" w:rsidP="00EF33BA">
            <w:pPr>
              <w:spacing w:after="0" w:line="240" w:lineRule="auto"/>
              <w:ind w:right="97"/>
              <w:jc w:val="right"/>
              <w:rPr>
                <w:rFonts w:ascii="Arial" w:eastAsia="Arial" w:hAnsi="Arial" w:cs="Arial"/>
                <w:sz w:val="20"/>
                <w:szCs w:val="20"/>
              </w:rPr>
            </w:pPr>
            <w:r>
              <w:rPr>
                <w:rFonts w:ascii="Arial" w:eastAsia="Arial" w:hAnsi="Arial" w:cs="Arial"/>
                <w:sz w:val="20"/>
                <w:szCs w:val="20"/>
              </w:rPr>
              <w:t>1.711.000</w:t>
            </w:r>
          </w:p>
        </w:tc>
      </w:tr>
      <w:tr w:rsidR="0018722D" w:rsidRPr="002166A9" w14:paraId="7ECA4CC5" w14:textId="77777777" w:rsidTr="00562FCC">
        <w:trPr>
          <w:trHeight w:val="551"/>
        </w:trPr>
        <w:tc>
          <w:tcPr>
            <w:tcW w:w="1844" w:type="pct"/>
            <w:tcMar>
              <w:top w:w="0" w:type="dxa"/>
              <w:left w:w="45" w:type="dxa"/>
              <w:bottom w:w="0" w:type="dxa"/>
              <w:right w:w="45" w:type="dxa"/>
            </w:tcMar>
          </w:tcPr>
          <w:p w14:paraId="56F61FEF" w14:textId="77777777" w:rsidR="0018722D" w:rsidRPr="002166A9" w:rsidRDefault="0018722D" w:rsidP="0018722D">
            <w:pPr>
              <w:spacing w:after="0" w:line="240" w:lineRule="auto"/>
              <w:ind w:right="-47"/>
              <w:rPr>
                <w:rFonts w:ascii="Arial" w:eastAsia="Arial" w:hAnsi="Arial" w:cs="Arial"/>
                <w:sz w:val="20"/>
                <w:szCs w:val="20"/>
              </w:rPr>
            </w:pPr>
            <w:r w:rsidRPr="002166A9">
              <w:rPr>
                <w:rFonts w:ascii="Arial" w:eastAsia="Arial" w:hAnsi="Arial" w:cs="Arial"/>
                <w:sz w:val="20"/>
                <w:szCs w:val="20"/>
              </w:rPr>
              <w:t xml:space="preserve">Component 2: </w:t>
            </w:r>
            <w:r w:rsidRPr="005C5720">
              <w:rPr>
                <w:rFonts w:asciiTheme="minorHAnsi" w:eastAsiaTheme="minorEastAsia" w:hAnsiTheme="minorHAnsi" w:cstheme="minorBidi"/>
              </w:rPr>
              <w:t xml:space="preserve"> </w:t>
            </w:r>
            <w:proofErr w:type="spellStart"/>
            <w:r w:rsidRPr="005C5720">
              <w:rPr>
                <w:rFonts w:ascii="Arial" w:eastAsia="Arial" w:hAnsi="Arial" w:cs="Arial"/>
                <w:sz w:val="20"/>
                <w:szCs w:val="20"/>
              </w:rPr>
              <w:t>Institutionali</w:t>
            </w:r>
            <w:r>
              <w:rPr>
                <w:rFonts w:ascii="Arial" w:eastAsia="Arial" w:hAnsi="Arial" w:cs="Arial"/>
                <w:sz w:val="20"/>
                <w:szCs w:val="20"/>
              </w:rPr>
              <w:t>s</w:t>
            </w:r>
            <w:r w:rsidRPr="005C5720">
              <w:rPr>
                <w:rFonts w:ascii="Arial" w:eastAsia="Arial" w:hAnsi="Arial" w:cs="Arial"/>
                <w:sz w:val="20"/>
                <w:szCs w:val="20"/>
              </w:rPr>
              <w:t>ation</w:t>
            </w:r>
            <w:proofErr w:type="spellEnd"/>
            <w:r w:rsidRPr="005C5720">
              <w:rPr>
                <w:rFonts w:ascii="Arial" w:eastAsia="Arial" w:hAnsi="Arial" w:cs="Arial"/>
                <w:sz w:val="20"/>
                <w:szCs w:val="20"/>
              </w:rPr>
              <w:t xml:space="preserve"> of the WOP-Colombia platform within ACODAL</w:t>
            </w:r>
          </w:p>
        </w:tc>
        <w:tc>
          <w:tcPr>
            <w:tcW w:w="623" w:type="pct"/>
            <w:tcMar>
              <w:top w:w="0" w:type="dxa"/>
              <w:left w:w="45" w:type="dxa"/>
              <w:bottom w:w="0" w:type="dxa"/>
              <w:right w:w="45" w:type="dxa"/>
            </w:tcMar>
          </w:tcPr>
          <w:p w14:paraId="3B340079" w14:textId="77777777" w:rsidR="0018722D" w:rsidRPr="005F5FEB" w:rsidRDefault="0018722D" w:rsidP="0018722D">
            <w:pPr>
              <w:spacing w:after="0" w:line="240" w:lineRule="auto"/>
              <w:ind w:right="95"/>
              <w:jc w:val="right"/>
              <w:rPr>
                <w:rFonts w:ascii="Arial" w:eastAsia="Arial" w:hAnsi="Arial" w:cs="Arial"/>
                <w:sz w:val="20"/>
                <w:szCs w:val="20"/>
              </w:rPr>
            </w:pPr>
          </w:p>
        </w:tc>
        <w:tc>
          <w:tcPr>
            <w:tcW w:w="585" w:type="pct"/>
          </w:tcPr>
          <w:p w14:paraId="5502E3F8" w14:textId="77777777" w:rsidR="0018722D" w:rsidRPr="005F5FEB" w:rsidRDefault="0018722D" w:rsidP="0018722D">
            <w:pPr>
              <w:spacing w:after="0" w:line="240" w:lineRule="auto"/>
              <w:ind w:right="136"/>
              <w:jc w:val="right"/>
              <w:rPr>
                <w:rFonts w:ascii="Arial" w:eastAsia="Arial" w:hAnsi="Arial" w:cs="Arial"/>
                <w:sz w:val="20"/>
                <w:szCs w:val="20"/>
              </w:rPr>
            </w:pPr>
            <w:r w:rsidRPr="005F5FEB">
              <w:rPr>
                <w:rFonts w:ascii="Arial" w:eastAsia="Arial" w:hAnsi="Arial" w:cs="Arial"/>
                <w:sz w:val="20"/>
                <w:szCs w:val="20"/>
              </w:rPr>
              <w:t>448.000</w:t>
            </w:r>
          </w:p>
        </w:tc>
        <w:tc>
          <w:tcPr>
            <w:tcW w:w="519" w:type="pct"/>
            <w:tcMar>
              <w:top w:w="0" w:type="dxa"/>
              <w:left w:w="45" w:type="dxa"/>
              <w:bottom w:w="0" w:type="dxa"/>
              <w:right w:w="45" w:type="dxa"/>
            </w:tcMar>
          </w:tcPr>
          <w:p w14:paraId="6AF07BE8" w14:textId="77777777" w:rsidR="0018722D" w:rsidRPr="002166A9" w:rsidRDefault="0018722D" w:rsidP="00EF33BA">
            <w:pPr>
              <w:spacing w:after="0" w:line="240" w:lineRule="auto"/>
              <w:ind w:right="82"/>
              <w:jc w:val="right"/>
              <w:rPr>
                <w:rFonts w:ascii="Arial" w:eastAsia="Arial" w:hAnsi="Arial" w:cs="Arial"/>
                <w:sz w:val="20"/>
                <w:szCs w:val="20"/>
              </w:rPr>
            </w:pPr>
          </w:p>
        </w:tc>
        <w:tc>
          <w:tcPr>
            <w:tcW w:w="806" w:type="pct"/>
            <w:tcMar>
              <w:top w:w="0" w:type="dxa"/>
              <w:left w:w="45" w:type="dxa"/>
              <w:bottom w:w="0" w:type="dxa"/>
              <w:right w:w="45" w:type="dxa"/>
            </w:tcMar>
          </w:tcPr>
          <w:p w14:paraId="26CE52D1" w14:textId="77777777" w:rsidR="0018722D" w:rsidRPr="002166A9" w:rsidRDefault="0018722D" w:rsidP="00EF33BA">
            <w:pPr>
              <w:spacing w:after="0" w:line="240" w:lineRule="auto"/>
              <w:ind w:left="-187" w:right="99"/>
              <w:jc w:val="right"/>
              <w:rPr>
                <w:rFonts w:ascii="Arial" w:eastAsia="Arial" w:hAnsi="Arial" w:cs="Arial"/>
                <w:sz w:val="20"/>
                <w:szCs w:val="20"/>
              </w:rPr>
            </w:pPr>
            <w:r w:rsidRPr="002166A9">
              <w:rPr>
                <w:rFonts w:ascii="Arial" w:eastAsia="Arial" w:hAnsi="Arial" w:cs="Arial"/>
                <w:sz w:val="20"/>
                <w:szCs w:val="20"/>
              </w:rPr>
              <w:t>50</w:t>
            </w:r>
            <w:r>
              <w:rPr>
                <w:rFonts w:ascii="Arial" w:eastAsia="Arial" w:hAnsi="Arial" w:cs="Arial"/>
                <w:sz w:val="20"/>
                <w:szCs w:val="20"/>
              </w:rPr>
              <w:t>.</w:t>
            </w:r>
            <w:r w:rsidRPr="002166A9">
              <w:rPr>
                <w:rFonts w:ascii="Arial" w:eastAsia="Arial" w:hAnsi="Arial" w:cs="Arial"/>
                <w:sz w:val="20"/>
                <w:szCs w:val="20"/>
              </w:rPr>
              <w:t xml:space="preserve">000 </w:t>
            </w:r>
          </w:p>
        </w:tc>
        <w:tc>
          <w:tcPr>
            <w:tcW w:w="624" w:type="pct"/>
            <w:tcMar>
              <w:top w:w="0" w:type="dxa"/>
              <w:left w:w="45" w:type="dxa"/>
              <w:bottom w:w="0" w:type="dxa"/>
              <w:right w:w="45" w:type="dxa"/>
            </w:tcMar>
          </w:tcPr>
          <w:p w14:paraId="544BE62E" w14:textId="07B8468D" w:rsidR="0018722D" w:rsidRPr="002166A9" w:rsidRDefault="0018722D" w:rsidP="00EF33BA">
            <w:pPr>
              <w:spacing w:after="0" w:line="240" w:lineRule="auto"/>
              <w:ind w:right="97"/>
              <w:jc w:val="right"/>
              <w:rPr>
                <w:rFonts w:ascii="Arial" w:eastAsia="Arial" w:hAnsi="Arial" w:cs="Arial"/>
                <w:sz w:val="20"/>
                <w:szCs w:val="20"/>
              </w:rPr>
            </w:pPr>
            <w:r>
              <w:rPr>
                <w:rFonts w:ascii="Arial" w:eastAsia="Arial" w:hAnsi="Arial" w:cs="Arial"/>
                <w:sz w:val="20"/>
                <w:szCs w:val="20"/>
              </w:rPr>
              <w:t>498.000</w:t>
            </w:r>
          </w:p>
        </w:tc>
      </w:tr>
      <w:tr w:rsidR="00F43B56" w:rsidRPr="002166A9" w14:paraId="333D41A7" w14:textId="77777777" w:rsidTr="00562FCC">
        <w:trPr>
          <w:trHeight w:val="300"/>
        </w:trPr>
        <w:tc>
          <w:tcPr>
            <w:tcW w:w="1844" w:type="pct"/>
            <w:tcMar>
              <w:top w:w="0" w:type="dxa"/>
              <w:left w:w="45" w:type="dxa"/>
              <w:bottom w:w="0" w:type="dxa"/>
              <w:right w:w="45" w:type="dxa"/>
            </w:tcMar>
          </w:tcPr>
          <w:p w14:paraId="31F02E82" w14:textId="6939E4EE" w:rsidR="0018722D" w:rsidRPr="002166A9" w:rsidRDefault="0018722D" w:rsidP="0018722D">
            <w:pPr>
              <w:spacing w:after="0" w:line="240" w:lineRule="auto"/>
              <w:ind w:right="-47"/>
              <w:rPr>
                <w:rFonts w:ascii="Arial" w:eastAsia="Arial" w:hAnsi="Arial" w:cs="Arial"/>
                <w:sz w:val="20"/>
                <w:szCs w:val="20"/>
              </w:rPr>
            </w:pPr>
            <w:r w:rsidRPr="002166A9">
              <w:rPr>
                <w:rFonts w:ascii="Arial" w:eastAsia="Arial" w:hAnsi="Arial" w:cs="Arial"/>
                <w:sz w:val="20"/>
                <w:szCs w:val="20"/>
              </w:rPr>
              <w:t>Project Coordinating Unit</w:t>
            </w:r>
            <w:r w:rsidR="00B55231">
              <w:rPr>
                <w:rStyle w:val="Refdenotaalpie"/>
                <w:rFonts w:ascii="Arial" w:eastAsia="Arial" w:hAnsi="Arial" w:cs="Arial"/>
                <w:sz w:val="20"/>
                <w:szCs w:val="20"/>
              </w:rPr>
              <w:footnoteReference w:id="19"/>
            </w:r>
          </w:p>
        </w:tc>
        <w:tc>
          <w:tcPr>
            <w:tcW w:w="623" w:type="pct"/>
            <w:shd w:val="clear" w:color="auto" w:fill="FFFFFF"/>
            <w:tcMar>
              <w:top w:w="0" w:type="dxa"/>
              <w:left w:w="45" w:type="dxa"/>
              <w:bottom w:w="0" w:type="dxa"/>
              <w:right w:w="45" w:type="dxa"/>
            </w:tcMar>
            <w:vAlign w:val="center"/>
          </w:tcPr>
          <w:p w14:paraId="6634FE53" w14:textId="77777777" w:rsidR="0018722D" w:rsidRPr="005F5FEB" w:rsidRDefault="0018722D" w:rsidP="0018722D">
            <w:pPr>
              <w:spacing w:after="0" w:line="240" w:lineRule="auto"/>
              <w:ind w:right="95"/>
              <w:jc w:val="right"/>
              <w:rPr>
                <w:rFonts w:ascii="Arial" w:eastAsia="Arial" w:hAnsi="Arial" w:cs="Arial"/>
                <w:sz w:val="20"/>
                <w:szCs w:val="20"/>
              </w:rPr>
            </w:pPr>
            <w:r w:rsidRPr="005F5FEB">
              <w:rPr>
                <w:rFonts w:ascii="Arial" w:eastAsia="Arial" w:hAnsi="Arial" w:cs="Arial"/>
                <w:sz w:val="20"/>
                <w:szCs w:val="20"/>
              </w:rPr>
              <w:t>875.000</w:t>
            </w:r>
          </w:p>
        </w:tc>
        <w:tc>
          <w:tcPr>
            <w:tcW w:w="585" w:type="pct"/>
            <w:shd w:val="clear" w:color="auto" w:fill="FFFFFF"/>
          </w:tcPr>
          <w:p w14:paraId="1A0DB2D6" w14:textId="77777777" w:rsidR="0018722D" w:rsidRPr="005F5FEB" w:rsidRDefault="0018722D" w:rsidP="0018722D">
            <w:pPr>
              <w:spacing w:after="0" w:line="240" w:lineRule="auto"/>
              <w:ind w:right="136"/>
              <w:jc w:val="right"/>
              <w:rPr>
                <w:rFonts w:ascii="Arial" w:eastAsia="Arial" w:hAnsi="Arial" w:cs="Arial"/>
                <w:sz w:val="20"/>
                <w:szCs w:val="20"/>
              </w:rPr>
            </w:pPr>
          </w:p>
        </w:tc>
        <w:tc>
          <w:tcPr>
            <w:tcW w:w="519" w:type="pct"/>
            <w:shd w:val="clear" w:color="auto" w:fill="FFFFFF"/>
            <w:tcMar>
              <w:top w:w="0" w:type="dxa"/>
              <w:left w:w="45" w:type="dxa"/>
              <w:bottom w:w="0" w:type="dxa"/>
              <w:right w:w="45" w:type="dxa"/>
            </w:tcMar>
            <w:vAlign w:val="center"/>
          </w:tcPr>
          <w:p w14:paraId="1A9278D0" w14:textId="77777777" w:rsidR="0018722D" w:rsidRPr="002166A9" w:rsidRDefault="0018722D" w:rsidP="00EF33BA">
            <w:pPr>
              <w:spacing w:after="0" w:line="240" w:lineRule="auto"/>
              <w:ind w:right="82"/>
              <w:jc w:val="right"/>
              <w:rPr>
                <w:rFonts w:ascii="Arial" w:eastAsia="Arial" w:hAnsi="Arial" w:cs="Arial"/>
                <w:sz w:val="20"/>
                <w:szCs w:val="20"/>
              </w:rPr>
            </w:pPr>
          </w:p>
        </w:tc>
        <w:tc>
          <w:tcPr>
            <w:tcW w:w="806" w:type="pct"/>
            <w:tcMar>
              <w:top w:w="0" w:type="dxa"/>
              <w:left w:w="45" w:type="dxa"/>
              <w:bottom w:w="0" w:type="dxa"/>
              <w:right w:w="45" w:type="dxa"/>
            </w:tcMar>
          </w:tcPr>
          <w:p w14:paraId="00317877" w14:textId="77777777" w:rsidR="0018722D" w:rsidRPr="002166A9" w:rsidRDefault="0018722D" w:rsidP="00EF33BA">
            <w:pPr>
              <w:spacing w:after="0" w:line="240" w:lineRule="auto"/>
              <w:ind w:left="-187" w:right="99"/>
              <w:jc w:val="right"/>
              <w:rPr>
                <w:rFonts w:ascii="Arial" w:eastAsia="Arial" w:hAnsi="Arial" w:cs="Arial"/>
                <w:sz w:val="20"/>
                <w:szCs w:val="20"/>
              </w:rPr>
            </w:pPr>
          </w:p>
        </w:tc>
        <w:tc>
          <w:tcPr>
            <w:tcW w:w="624" w:type="pct"/>
            <w:tcMar>
              <w:top w:w="0" w:type="dxa"/>
              <w:left w:w="45" w:type="dxa"/>
              <w:bottom w:w="0" w:type="dxa"/>
              <w:right w:w="45" w:type="dxa"/>
            </w:tcMar>
          </w:tcPr>
          <w:p w14:paraId="04E729DA" w14:textId="77777777" w:rsidR="0018722D" w:rsidRPr="002166A9" w:rsidRDefault="0018722D" w:rsidP="00EF33BA">
            <w:pPr>
              <w:spacing w:after="0" w:line="240" w:lineRule="auto"/>
              <w:ind w:right="97"/>
              <w:jc w:val="right"/>
              <w:rPr>
                <w:rFonts w:ascii="Arial" w:eastAsia="Arial" w:hAnsi="Arial" w:cs="Arial"/>
                <w:sz w:val="20"/>
                <w:szCs w:val="20"/>
              </w:rPr>
            </w:pPr>
            <w:r>
              <w:rPr>
                <w:rFonts w:ascii="Arial" w:eastAsia="Arial" w:hAnsi="Arial" w:cs="Arial"/>
                <w:sz w:val="20"/>
                <w:szCs w:val="20"/>
              </w:rPr>
              <w:t>875.000</w:t>
            </w:r>
          </w:p>
        </w:tc>
      </w:tr>
      <w:tr w:rsidR="0018722D" w:rsidRPr="002166A9" w14:paraId="7477D2B8" w14:textId="77777777" w:rsidTr="00562FCC">
        <w:trPr>
          <w:trHeight w:val="250"/>
        </w:trPr>
        <w:tc>
          <w:tcPr>
            <w:tcW w:w="1844" w:type="pct"/>
            <w:tcMar>
              <w:top w:w="0" w:type="dxa"/>
              <w:left w:w="45" w:type="dxa"/>
              <w:bottom w:w="0" w:type="dxa"/>
              <w:right w:w="45" w:type="dxa"/>
            </w:tcMar>
          </w:tcPr>
          <w:p w14:paraId="500C6105" w14:textId="26E445B4" w:rsidR="0018722D" w:rsidRPr="002166A9" w:rsidRDefault="0018722D" w:rsidP="0018722D">
            <w:pPr>
              <w:spacing w:after="0" w:line="240" w:lineRule="auto"/>
              <w:ind w:right="-47"/>
              <w:rPr>
                <w:rFonts w:ascii="Arial" w:eastAsia="Arial" w:hAnsi="Arial" w:cs="Arial"/>
                <w:sz w:val="20"/>
                <w:szCs w:val="20"/>
              </w:rPr>
            </w:pPr>
            <w:r>
              <w:rPr>
                <w:rFonts w:ascii="Arial" w:eastAsia="Arial" w:hAnsi="Arial" w:cs="Arial"/>
                <w:sz w:val="20"/>
                <w:szCs w:val="20"/>
              </w:rPr>
              <w:t>ACODAL Audit</w:t>
            </w:r>
            <w:r w:rsidR="00F464B2">
              <w:rPr>
                <w:rStyle w:val="Refdenotaalpie"/>
                <w:rFonts w:ascii="Arial" w:eastAsia="Arial" w:hAnsi="Arial" w:cs="Arial"/>
                <w:sz w:val="20"/>
                <w:szCs w:val="20"/>
              </w:rPr>
              <w:footnoteReference w:id="20"/>
            </w:r>
          </w:p>
        </w:tc>
        <w:tc>
          <w:tcPr>
            <w:tcW w:w="623" w:type="pct"/>
            <w:tcMar>
              <w:top w:w="0" w:type="dxa"/>
              <w:left w:w="45" w:type="dxa"/>
              <w:bottom w:w="0" w:type="dxa"/>
              <w:right w:w="45" w:type="dxa"/>
            </w:tcMar>
          </w:tcPr>
          <w:p w14:paraId="05F2DD11" w14:textId="77777777" w:rsidR="0018722D" w:rsidRPr="005F5FEB" w:rsidRDefault="0018722D" w:rsidP="0018722D">
            <w:pPr>
              <w:spacing w:after="0" w:line="240" w:lineRule="auto"/>
              <w:ind w:right="95"/>
              <w:jc w:val="right"/>
              <w:rPr>
                <w:rFonts w:ascii="Arial" w:eastAsia="Arial" w:hAnsi="Arial" w:cs="Arial"/>
                <w:sz w:val="20"/>
                <w:szCs w:val="20"/>
              </w:rPr>
            </w:pPr>
          </w:p>
        </w:tc>
        <w:tc>
          <w:tcPr>
            <w:tcW w:w="585" w:type="pct"/>
          </w:tcPr>
          <w:p w14:paraId="511781AF" w14:textId="77777777" w:rsidR="0018722D" w:rsidRPr="005F5FEB" w:rsidRDefault="0018722D" w:rsidP="0018722D">
            <w:pPr>
              <w:spacing w:after="0" w:line="240" w:lineRule="auto"/>
              <w:ind w:right="136"/>
              <w:jc w:val="right"/>
              <w:rPr>
                <w:rFonts w:ascii="Arial" w:eastAsia="Arial" w:hAnsi="Arial" w:cs="Arial"/>
                <w:sz w:val="20"/>
                <w:szCs w:val="20"/>
              </w:rPr>
            </w:pPr>
            <w:r w:rsidRPr="005F5FEB">
              <w:rPr>
                <w:rFonts w:ascii="Arial" w:eastAsia="Arial" w:hAnsi="Arial" w:cs="Arial"/>
                <w:sz w:val="20"/>
                <w:szCs w:val="20"/>
              </w:rPr>
              <w:t>13.600</w:t>
            </w:r>
          </w:p>
        </w:tc>
        <w:tc>
          <w:tcPr>
            <w:tcW w:w="519" w:type="pct"/>
            <w:tcMar>
              <w:top w:w="0" w:type="dxa"/>
              <w:left w:w="45" w:type="dxa"/>
              <w:bottom w:w="0" w:type="dxa"/>
              <w:right w:w="45" w:type="dxa"/>
            </w:tcMar>
          </w:tcPr>
          <w:p w14:paraId="0DD6EC5F" w14:textId="77777777" w:rsidR="0018722D" w:rsidRPr="002166A9" w:rsidRDefault="0018722D" w:rsidP="00EF33BA">
            <w:pPr>
              <w:spacing w:after="0" w:line="240" w:lineRule="auto"/>
              <w:ind w:right="82"/>
              <w:jc w:val="right"/>
              <w:rPr>
                <w:rFonts w:ascii="Arial" w:eastAsia="Arial" w:hAnsi="Arial" w:cs="Arial"/>
                <w:sz w:val="20"/>
                <w:szCs w:val="20"/>
              </w:rPr>
            </w:pPr>
          </w:p>
        </w:tc>
        <w:tc>
          <w:tcPr>
            <w:tcW w:w="806" w:type="pct"/>
            <w:tcMar>
              <w:top w:w="0" w:type="dxa"/>
              <w:left w:w="45" w:type="dxa"/>
              <w:bottom w:w="0" w:type="dxa"/>
              <w:right w:w="45" w:type="dxa"/>
            </w:tcMar>
          </w:tcPr>
          <w:p w14:paraId="0936AB2B" w14:textId="77777777" w:rsidR="0018722D" w:rsidRPr="002166A9" w:rsidRDefault="0018722D" w:rsidP="00EF33BA">
            <w:pPr>
              <w:spacing w:after="0" w:line="240" w:lineRule="auto"/>
              <w:ind w:left="-187" w:right="99"/>
              <w:jc w:val="right"/>
              <w:rPr>
                <w:rFonts w:ascii="Arial" w:eastAsia="Arial" w:hAnsi="Arial" w:cs="Arial"/>
                <w:sz w:val="20"/>
                <w:szCs w:val="20"/>
              </w:rPr>
            </w:pPr>
          </w:p>
        </w:tc>
        <w:tc>
          <w:tcPr>
            <w:tcW w:w="624" w:type="pct"/>
            <w:tcMar>
              <w:top w:w="0" w:type="dxa"/>
              <w:left w:w="45" w:type="dxa"/>
              <w:bottom w:w="0" w:type="dxa"/>
              <w:right w:w="45" w:type="dxa"/>
            </w:tcMar>
          </w:tcPr>
          <w:p w14:paraId="11513C02" w14:textId="77777777" w:rsidR="0018722D" w:rsidRPr="002166A9" w:rsidRDefault="0018722D" w:rsidP="00EF33BA">
            <w:pPr>
              <w:spacing w:after="0" w:line="240" w:lineRule="auto"/>
              <w:ind w:right="97"/>
              <w:jc w:val="right"/>
              <w:rPr>
                <w:rFonts w:ascii="Arial" w:eastAsia="Arial" w:hAnsi="Arial" w:cs="Arial"/>
                <w:sz w:val="20"/>
                <w:szCs w:val="20"/>
              </w:rPr>
            </w:pPr>
            <w:r>
              <w:rPr>
                <w:rFonts w:ascii="Arial" w:eastAsia="Arial" w:hAnsi="Arial" w:cs="Arial"/>
                <w:sz w:val="20"/>
                <w:szCs w:val="20"/>
              </w:rPr>
              <w:t>13.600</w:t>
            </w:r>
          </w:p>
        </w:tc>
      </w:tr>
      <w:tr w:rsidR="0018722D" w14:paraId="188200E4" w14:textId="77777777" w:rsidTr="00562FCC">
        <w:trPr>
          <w:trHeight w:val="274"/>
        </w:trPr>
        <w:tc>
          <w:tcPr>
            <w:tcW w:w="1844" w:type="pct"/>
            <w:tcMar>
              <w:top w:w="0" w:type="dxa"/>
              <w:left w:w="45" w:type="dxa"/>
              <w:bottom w:w="0" w:type="dxa"/>
              <w:right w:w="45" w:type="dxa"/>
            </w:tcMar>
          </w:tcPr>
          <w:p w14:paraId="33DBCD50" w14:textId="6804ECBF" w:rsidR="0018722D" w:rsidRDefault="0018722D" w:rsidP="0018722D">
            <w:pPr>
              <w:spacing w:after="0" w:line="240" w:lineRule="auto"/>
              <w:ind w:right="-47"/>
              <w:rPr>
                <w:rFonts w:ascii="Arial" w:eastAsia="Arial" w:hAnsi="Arial" w:cs="Arial"/>
                <w:sz w:val="20"/>
                <w:szCs w:val="20"/>
              </w:rPr>
            </w:pPr>
            <w:r w:rsidRPr="002166A9">
              <w:rPr>
                <w:rFonts w:ascii="Arial" w:eastAsia="Arial" w:hAnsi="Arial" w:cs="Arial"/>
                <w:sz w:val="20"/>
                <w:szCs w:val="20"/>
              </w:rPr>
              <w:t>Contingencies</w:t>
            </w:r>
            <w:r w:rsidR="00556DC8">
              <w:rPr>
                <w:rStyle w:val="Refdenotaalpie"/>
                <w:rFonts w:ascii="Arial" w:eastAsia="Arial" w:hAnsi="Arial" w:cs="Arial"/>
                <w:sz w:val="20"/>
                <w:szCs w:val="20"/>
              </w:rPr>
              <w:footnoteReference w:id="21"/>
            </w:r>
          </w:p>
        </w:tc>
        <w:tc>
          <w:tcPr>
            <w:tcW w:w="623" w:type="pct"/>
            <w:tcMar>
              <w:top w:w="0" w:type="dxa"/>
              <w:left w:w="45" w:type="dxa"/>
              <w:bottom w:w="0" w:type="dxa"/>
              <w:right w:w="45" w:type="dxa"/>
            </w:tcMar>
          </w:tcPr>
          <w:p w14:paraId="12604245" w14:textId="77777777" w:rsidR="0018722D" w:rsidRPr="005F5FEB" w:rsidRDefault="0018722D" w:rsidP="0018722D">
            <w:pPr>
              <w:spacing w:after="0" w:line="240" w:lineRule="auto"/>
              <w:ind w:right="95"/>
              <w:jc w:val="right"/>
              <w:rPr>
                <w:rFonts w:ascii="Arial" w:eastAsia="Arial" w:hAnsi="Arial" w:cs="Arial"/>
                <w:sz w:val="20"/>
                <w:szCs w:val="20"/>
              </w:rPr>
            </w:pPr>
            <w:r w:rsidRPr="005F5FEB">
              <w:rPr>
                <w:rFonts w:ascii="Arial" w:eastAsia="Arial" w:hAnsi="Arial" w:cs="Arial"/>
                <w:sz w:val="20"/>
                <w:szCs w:val="20"/>
              </w:rPr>
              <w:t>110.400</w:t>
            </w:r>
          </w:p>
        </w:tc>
        <w:tc>
          <w:tcPr>
            <w:tcW w:w="585" w:type="pct"/>
          </w:tcPr>
          <w:p w14:paraId="11DAFA21" w14:textId="77777777" w:rsidR="0018722D" w:rsidRPr="005F5FEB" w:rsidRDefault="0018722D" w:rsidP="0018722D">
            <w:pPr>
              <w:spacing w:after="0" w:line="240" w:lineRule="auto"/>
              <w:ind w:right="136"/>
              <w:jc w:val="right"/>
              <w:rPr>
                <w:rFonts w:ascii="Arial" w:eastAsia="Arial" w:hAnsi="Arial" w:cs="Arial"/>
                <w:sz w:val="20"/>
                <w:szCs w:val="20"/>
              </w:rPr>
            </w:pPr>
          </w:p>
        </w:tc>
        <w:tc>
          <w:tcPr>
            <w:tcW w:w="519" w:type="pct"/>
            <w:tcMar>
              <w:top w:w="0" w:type="dxa"/>
              <w:left w:w="45" w:type="dxa"/>
              <w:bottom w:w="0" w:type="dxa"/>
              <w:right w:w="45" w:type="dxa"/>
            </w:tcMar>
          </w:tcPr>
          <w:p w14:paraId="18BA8C26" w14:textId="77777777" w:rsidR="0018722D" w:rsidRPr="002166A9" w:rsidRDefault="0018722D" w:rsidP="00EF33BA">
            <w:pPr>
              <w:spacing w:after="0" w:line="240" w:lineRule="auto"/>
              <w:ind w:right="82"/>
              <w:jc w:val="right"/>
              <w:rPr>
                <w:rFonts w:ascii="Arial" w:eastAsia="Arial" w:hAnsi="Arial" w:cs="Arial"/>
                <w:sz w:val="20"/>
                <w:szCs w:val="20"/>
              </w:rPr>
            </w:pPr>
          </w:p>
        </w:tc>
        <w:tc>
          <w:tcPr>
            <w:tcW w:w="806" w:type="pct"/>
            <w:tcMar>
              <w:top w:w="0" w:type="dxa"/>
              <w:left w:w="45" w:type="dxa"/>
              <w:bottom w:w="0" w:type="dxa"/>
              <w:right w:w="45" w:type="dxa"/>
            </w:tcMar>
          </w:tcPr>
          <w:p w14:paraId="479F3E35" w14:textId="77777777" w:rsidR="0018722D" w:rsidRPr="002166A9" w:rsidRDefault="0018722D" w:rsidP="00EF33BA">
            <w:pPr>
              <w:spacing w:after="0" w:line="240" w:lineRule="auto"/>
              <w:ind w:left="-187" w:right="99"/>
              <w:jc w:val="right"/>
              <w:rPr>
                <w:rFonts w:ascii="Arial" w:eastAsia="Arial" w:hAnsi="Arial" w:cs="Arial"/>
                <w:sz w:val="20"/>
                <w:szCs w:val="20"/>
              </w:rPr>
            </w:pPr>
          </w:p>
        </w:tc>
        <w:tc>
          <w:tcPr>
            <w:tcW w:w="624" w:type="pct"/>
            <w:tcMar>
              <w:top w:w="0" w:type="dxa"/>
              <w:left w:w="45" w:type="dxa"/>
              <w:bottom w:w="0" w:type="dxa"/>
              <w:right w:w="45" w:type="dxa"/>
            </w:tcMar>
          </w:tcPr>
          <w:p w14:paraId="43225E21" w14:textId="77777777" w:rsidR="0018722D" w:rsidRDefault="0018722D" w:rsidP="00EF33BA">
            <w:pPr>
              <w:spacing w:after="0" w:line="240" w:lineRule="auto"/>
              <w:ind w:right="97"/>
              <w:jc w:val="right"/>
              <w:rPr>
                <w:rFonts w:ascii="Arial" w:eastAsia="Arial" w:hAnsi="Arial" w:cs="Arial"/>
                <w:sz w:val="20"/>
                <w:szCs w:val="20"/>
              </w:rPr>
            </w:pPr>
            <w:r>
              <w:rPr>
                <w:rFonts w:ascii="Arial" w:eastAsia="Arial" w:hAnsi="Arial" w:cs="Arial"/>
                <w:sz w:val="20"/>
                <w:szCs w:val="20"/>
              </w:rPr>
              <w:t>110.400</w:t>
            </w:r>
          </w:p>
        </w:tc>
      </w:tr>
      <w:tr w:rsidR="00EF33BA" w:rsidRPr="00B52DB4" w14:paraId="43883557" w14:textId="77777777" w:rsidTr="00562FCC">
        <w:trPr>
          <w:trHeight w:val="286"/>
        </w:trPr>
        <w:tc>
          <w:tcPr>
            <w:tcW w:w="1844" w:type="pct"/>
            <w:shd w:val="clear" w:color="auto" w:fill="F2F2F2" w:themeFill="background1" w:themeFillShade="F2"/>
            <w:tcMar>
              <w:top w:w="0" w:type="dxa"/>
              <w:left w:w="45" w:type="dxa"/>
              <w:bottom w:w="0" w:type="dxa"/>
              <w:right w:w="45" w:type="dxa"/>
            </w:tcMar>
          </w:tcPr>
          <w:p w14:paraId="4E68E9B1" w14:textId="77777777" w:rsidR="0018722D" w:rsidRPr="00B52DB4" w:rsidRDefault="0018722D" w:rsidP="0018722D">
            <w:pPr>
              <w:spacing w:after="0" w:line="240" w:lineRule="auto"/>
              <w:ind w:right="-47"/>
              <w:rPr>
                <w:rFonts w:ascii="Arial" w:eastAsia="Arial" w:hAnsi="Arial" w:cs="Arial"/>
                <w:b/>
                <w:sz w:val="20"/>
                <w:szCs w:val="20"/>
              </w:rPr>
            </w:pPr>
            <w:r>
              <w:rPr>
                <w:rFonts w:ascii="Arial" w:eastAsia="Arial" w:hAnsi="Arial" w:cs="Arial"/>
                <w:b/>
                <w:sz w:val="20"/>
                <w:szCs w:val="20"/>
              </w:rPr>
              <w:t>Subtotal</w:t>
            </w:r>
          </w:p>
        </w:tc>
        <w:tc>
          <w:tcPr>
            <w:tcW w:w="623" w:type="pct"/>
            <w:shd w:val="clear" w:color="auto" w:fill="F2F2F2" w:themeFill="background1" w:themeFillShade="F2"/>
            <w:tcMar>
              <w:top w:w="0" w:type="dxa"/>
              <w:left w:w="45" w:type="dxa"/>
              <w:bottom w:w="0" w:type="dxa"/>
              <w:right w:w="45" w:type="dxa"/>
            </w:tcMar>
          </w:tcPr>
          <w:p w14:paraId="29DA145A" w14:textId="77777777" w:rsidR="0018722D" w:rsidRPr="00B52DB4" w:rsidRDefault="0018722D" w:rsidP="0018722D">
            <w:pPr>
              <w:spacing w:after="0" w:line="240" w:lineRule="auto"/>
              <w:ind w:right="95"/>
              <w:jc w:val="right"/>
              <w:rPr>
                <w:rFonts w:ascii="Arial" w:eastAsia="Arial" w:hAnsi="Arial" w:cs="Arial"/>
                <w:b/>
                <w:sz w:val="20"/>
                <w:szCs w:val="20"/>
              </w:rPr>
            </w:pPr>
            <w:bookmarkStart w:id="0" w:name="_Hlk175728690"/>
            <w:r w:rsidRPr="00B52DB4">
              <w:rPr>
                <w:rFonts w:ascii="Arial" w:eastAsia="Arial" w:hAnsi="Arial" w:cs="Arial"/>
                <w:b/>
                <w:sz w:val="20"/>
                <w:szCs w:val="20"/>
              </w:rPr>
              <w:t>2.</w:t>
            </w:r>
            <w:r>
              <w:rPr>
                <w:rFonts w:ascii="Arial" w:eastAsia="Arial" w:hAnsi="Arial" w:cs="Arial"/>
                <w:b/>
                <w:sz w:val="20"/>
                <w:szCs w:val="20"/>
              </w:rPr>
              <w:t>046</w:t>
            </w:r>
            <w:r w:rsidRPr="00B52DB4">
              <w:rPr>
                <w:rFonts w:ascii="Arial" w:eastAsia="Arial" w:hAnsi="Arial" w:cs="Arial"/>
                <w:b/>
                <w:sz w:val="20"/>
                <w:szCs w:val="20"/>
              </w:rPr>
              <w:t>.</w:t>
            </w:r>
            <w:r>
              <w:rPr>
                <w:rFonts w:ascii="Arial" w:eastAsia="Arial" w:hAnsi="Arial" w:cs="Arial"/>
                <w:b/>
                <w:sz w:val="20"/>
                <w:szCs w:val="20"/>
              </w:rPr>
              <w:t>4</w:t>
            </w:r>
            <w:r w:rsidRPr="00B52DB4">
              <w:rPr>
                <w:rFonts w:ascii="Arial" w:eastAsia="Arial" w:hAnsi="Arial" w:cs="Arial"/>
                <w:b/>
                <w:sz w:val="20"/>
                <w:szCs w:val="20"/>
              </w:rPr>
              <w:t>00</w:t>
            </w:r>
            <w:bookmarkEnd w:id="0"/>
          </w:p>
        </w:tc>
        <w:tc>
          <w:tcPr>
            <w:tcW w:w="585" w:type="pct"/>
            <w:shd w:val="clear" w:color="auto" w:fill="F2F2F2" w:themeFill="background1" w:themeFillShade="F2"/>
          </w:tcPr>
          <w:p w14:paraId="2E4B8D80" w14:textId="77777777" w:rsidR="0018722D" w:rsidRPr="00B52DB4" w:rsidRDefault="0018722D" w:rsidP="0018722D">
            <w:pPr>
              <w:spacing w:after="0" w:line="240" w:lineRule="auto"/>
              <w:ind w:right="136"/>
              <w:jc w:val="right"/>
              <w:rPr>
                <w:rFonts w:ascii="Arial" w:eastAsia="Arial" w:hAnsi="Arial" w:cs="Arial"/>
                <w:b/>
                <w:sz w:val="20"/>
                <w:szCs w:val="20"/>
              </w:rPr>
            </w:pPr>
            <w:r>
              <w:rPr>
                <w:rFonts w:ascii="Arial" w:eastAsia="Arial" w:hAnsi="Arial" w:cs="Arial"/>
                <w:b/>
                <w:sz w:val="20"/>
                <w:szCs w:val="20"/>
              </w:rPr>
              <w:t>461.600</w:t>
            </w:r>
          </w:p>
        </w:tc>
        <w:tc>
          <w:tcPr>
            <w:tcW w:w="519" w:type="pct"/>
            <w:shd w:val="clear" w:color="auto" w:fill="F2F2F2" w:themeFill="background1" w:themeFillShade="F2"/>
            <w:tcMar>
              <w:top w:w="0" w:type="dxa"/>
              <w:left w:w="45" w:type="dxa"/>
              <w:bottom w:w="0" w:type="dxa"/>
              <w:right w:w="45" w:type="dxa"/>
            </w:tcMar>
          </w:tcPr>
          <w:p w14:paraId="238021F2" w14:textId="77777777" w:rsidR="0018722D" w:rsidRPr="00B52DB4" w:rsidRDefault="0018722D" w:rsidP="00EF33BA">
            <w:pPr>
              <w:spacing w:after="0" w:line="240" w:lineRule="auto"/>
              <w:ind w:right="82"/>
              <w:jc w:val="right"/>
              <w:rPr>
                <w:rFonts w:ascii="Arial" w:eastAsia="Arial" w:hAnsi="Arial" w:cs="Arial"/>
                <w:b/>
                <w:sz w:val="20"/>
                <w:szCs w:val="20"/>
              </w:rPr>
            </w:pPr>
          </w:p>
        </w:tc>
        <w:tc>
          <w:tcPr>
            <w:tcW w:w="806" w:type="pct"/>
            <w:shd w:val="clear" w:color="auto" w:fill="F2F2F2" w:themeFill="background1" w:themeFillShade="F2"/>
            <w:tcMar>
              <w:top w:w="0" w:type="dxa"/>
              <w:left w:w="45" w:type="dxa"/>
              <w:bottom w:w="0" w:type="dxa"/>
              <w:right w:w="45" w:type="dxa"/>
            </w:tcMar>
          </w:tcPr>
          <w:p w14:paraId="05A30E78" w14:textId="77777777" w:rsidR="0018722D" w:rsidRPr="00B52DB4" w:rsidRDefault="0018722D" w:rsidP="00EF33BA">
            <w:pPr>
              <w:spacing w:after="0" w:line="240" w:lineRule="auto"/>
              <w:ind w:left="-187" w:right="99"/>
              <w:jc w:val="right"/>
              <w:rPr>
                <w:rFonts w:ascii="Arial" w:eastAsia="Times New Roman" w:hAnsi="Arial" w:cs="Arial"/>
                <w:b/>
                <w:sz w:val="20"/>
                <w:szCs w:val="20"/>
              </w:rPr>
            </w:pPr>
          </w:p>
        </w:tc>
        <w:tc>
          <w:tcPr>
            <w:tcW w:w="624" w:type="pct"/>
            <w:shd w:val="clear" w:color="auto" w:fill="F2F2F2" w:themeFill="background1" w:themeFillShade="F2"/>
            <w:tcMar>
              <w:top w:w="0" w:type="dxa"/>
              <w:left w:w="45" w:type="dxa"/>
              <w:bottom w:w="0" w:type="dxa"/>
              <w:right w:w="45" w:type="dxa"/>
            </w:tcMar>
          </w:tcPr>
          <w:p w14:paraId="5B6EC4FE" w14:textId="77777777" w:rsidR="0018722D" w:rsidRPr="00B52DB4" w:rsidRDefault="0018722D" w:rsidP="00EF33BA">
            <w:pPr>
              <w:spacing w:after="0" w:line="240" w:lineRule="auto"/>
              <w:ind w:right="97"/>
              <w:jc w:val="right"/>
              <w:rPr>
                <w:rFonts w:ascii="Arial" w:eastAsia="Arial" w:hAnsi="Arial" w:cs="Arial"/>
                <w:b/>
                <w:sz w:val="20"/>
                <w:szCs w:val="20"/>
              </w:rPr>
            </w:pPr>
          </w:p>
        </w:tc>
      </w:tr>
      <w:tr w:rsidR="00EF33BA" w:rsidRPr="00B52DB4" w14:paraId="05540CBF" w14:textId="77777777" w:rsidTr="00562FCC">
        <w:trPr>
          <w:trHeight w:val="286"/>
        </w:trPr>
        <w:tc>
          <w:tcPr>
            <w:tcW w:w="1844" w:type="pct"/>
            <w:shd w:val="clear" w:color="auto" w:fill="D9D9D9" w:themeFill="background1" w:themeFillShade="D9"/>
            <w:tcMar>
              <w:top w:w="0" w:type="dxa"/>
              <w:left w:w="45" w:type="dxa"/>
              <w:bottom w:w="0" w:type="dxa"/>
              <w:right w:w="45" w:type="dxa"/>
            </w:tcMar>
          </w:tcPr>
          <w:p w14:paraId="5B73281D" w14:textId="77777777" w:rsidR="0018722D" w:rsidRPr="00B52DB4" w:rsidRDefault="0018722D" w:rsidP="0018722D">
            <w:pPr>
              <w:spacing w:after="0" w:line="240" w:lineRule="auto"/>
              <w:ind w:right="-47"/>
              <w:rPr>
                <w:rFonts w:ascii="Arial" w:eastAsia="Arial" w:hAnsi="Arial" w:cs="Arial"/>
                <w:b/>
                <w:sz w:val="20"/>
                <w:szCs w:val="20"/>
              </w:rPr>
            </w:pPr>
            <w:r>
              <w:rPr>
                <w:rFonts w:ascii="Arial" w:eastAsia="Arial" w:hAnsi="Arial" w:cs="Arial"/>
                <w:b/>
                <w:sz w:val="20"/>
                <w:szCs w:val="20"/>
              </w:rPr>
              <w:t>TC total cost</w:t>
            </w:r>
          </w:p>
        </w:tc>
        <w:tc>
          <w:tcPr>
            <w:tcW w:w="1208" w:type="pct"/>
            <w:gridSpan w:val="2"/>
            <w:shd w:val="clear" w:color="auto" w:fill="D9D9D9" w:themeFill="background1" w:themeFillShade="D9"/>
            <w:tcMar>
              <w:top w:w="0" w:type="dxa"/>
              <w:left w:w="45" w:type="dxa"/>
              <w:bottom w:w="0" w:type="dxa"/>
              <w:right w:w="45" w:type="dxa"/>
            </w:tcMar>
          </w:tcPr>
          <w:p w14:paraId="6BD6D4BF" w14:textId="7584D250" w:rsidR="0018722D" w:rsidRDefault="00EF33BA" w:rsidP="0018722D">
            <w:pPr>
              <w:spacing w:after="0" w:line="240" w:lineRule="auto"/>
              <w:ind w:right="136"/>
              <w:jc w:val="center"/>
              <w:rPr>
                <w:rFonts w:ascii="Arial" w:eastAsia="Arial" w:hAnsi="Arial" w:cs="Arial"/>
                <w:b/>
                <w:sz w:val="20"/>
                <w:szCs w:val="20"/>
              </w:rPr>
            </w:pPr>
            <w:r>
              <w:rPr>
                <w:rFonts w:ascii="Arial" w:eastAsia="Arial" w:hAnsi="Arial" w:cs="Arial"/>
                <w:b/>
                <w:sz w:val="20"/>
                <w:szCs w:val="20"/>
              </w:rPr>
              <w:t xml:space="preserve">   </w:t>
            </w:r>
            <w:r w:rsidR="0018722D">
              <w:rPr>
                <w:rFonts w:ascii="Arial" w:eastAsia="Arial" w:hAnsi="Arial" w:cs="Arial"/>
                <w:b/>
                <w:sz w:val="20"/>
                <w:szCs w:val="20"/>
              </w:rPr>
              <w:t>2.508.000</w:t>
            </w:r>
          </w:p>
        </w:tc>
        <w:tc>
          <w:tcPr>
            <w:tcW w:w="519" w:type="pct"/>
            <w:shd w:val="clear" w:color="auto" w:fill="D9D9D9" w:themeFill="background1" w:themeFillShade="D9"/>
            <w:tcMar>
              <w:top w:w="0" w:type="dxa"/>
              <w:left w:w="45" w:type="dxa"/>
              <w:bottom w:w="0" w:type="dxa"/>
              <w:right w:w="45" w:type="dxa"/>
            </w:tcMar>
          </w:tcPr>
          <w:p w14:paraId="2BAC9907" w14:textId="77777777" w:rsidR="0018722D" w:rsidRPr="00B52DB4" w:rsidRDefault="0018722D" w:rsidP="00EF33BA">
            <w:pPr>
              <w:spacing w:after="0" w:line="240" w:lineRule="auto"/>
              <w:ind w:right="82"/>
              <w:jc w:val="right"/>
              <w:rPr>
                <w:rFonts w:ascii="Arial" w:eastAsia="Arial" w:hAnsi="Arial" w:cs="Arial"/>
                <w:b/>
                <w:sz w:val="20"/>
                <w:szCs w:val="20"/>
              </w:rPr>
            </w:pPr>
            <w:r>
              <w:rPr>
                <w:rFonts w:ascii="Arial" w:eastAsia="Arial" w:hAnsi="Arial" w:cs="Arial"/>
                <w:b/>
                <w:sz w:val="20"/>
                <w:szCs w:val="20"/>
              </w:rPr>
              <w:t>600.000</w:t>
            </w:r>
          </w:p>
        </w:tc>
        <w:tc>
          <w:tcPr>
            <w:tcW w:w="806" w:type="pct"/>
            <w:shd w:val="clear" w:color="auto" w:fill="D9D9D9" w:themeFill="background1" w:themeFillShade="D9"/>
            <w:tcMar>
              <w:top w:w="0" w:type="dxa"/>
              <w:left w:w="45" w:type="dxa"/>
              <w:bottom w:w="0" w:type="dxa"/>
              <w:right w:w="45" w:type="dxa"/>
            </w:tcMar>
          </w:tcPr>
          <w:p w14:paraId="17775BEA" w14:textId="77777777" w:rsidR="0018722D" w:rsidRPr="00B52DB4" w:rsidRDefault="0018722D" w:rsidP="00EF33BA">
            <w:pPr>
              <w:spacing w:after="0" w:line="240" w:lineRule="auto"/>
              <w:ind w:left="-187" w:right="99"/>
              <w:jc w:val="right"/>
              <w:rPr>
                <w:rFonts w:ascii="Arial" w:eastAsia="Arial" w:hAnsi="Arial" w:cs="Arial"/>
                <w:b/>
                <w:sz w:val="20"/>
                <w:szCs w:val="20"/>
              </w:rPr>
            </w:pPr>
            <w:r>
              <w:rPr>
                <w:rFonts w:ascii="Arial" w:eastAsia="Arial" w:hAnsi="Arial" w:cs="Arial"/>
                <w:b/>
                <w:sz w:val="20"/>
                <w:szCs w:val="20"/>
              </w:rPr>
              <w:t>100.000</w:t>
            </w:r>
          </w:p>
        </w:tc>
        <w:tc>
          <w:tcPr>
            <w:tcW w:w="624" w:type="pct"/>
            <w:shd w:val="clear" w:color="auto" w:fill="D9D9D9" w:themeFill="background1" w:themeFillShade="D9"/>
            <w:tcMar>
              <w:top w:w="0" w:type="dxa"/>
              <w:left w:w="45" w:type="dxa"/>
              <w:bottom w:w="0" w:type="dxa"/>
              <w:right w:w="45" w:type="dxa"/>
            </w:tcMar>
          </w:tcPr>
          <w:p w14:paraId="590DE697" w14:textId="77777777" w:rsidR="0018722D" w:rsidRPr="00B52DB4" w:rsidRDefault="0018722D" w:rsidP="00EF33BA">
            <w:pPr>
              <w:spacing w:after="0" w:line="240" w:lineRule="auto"/>
              <w:ind w:right="97"/>
              <w:jc w:val="right"/>
              <w:rPr>
                <w:rFonts w:ascii="Arial" w:eastAsia="Arial" w:hAnsi="Arial" w:cs="Arial"/>
                <w:b/>
                <w:sz w:val="20"/>
                <w:szCs w:val="20"/>
              </w:rPr>
            </w:pPr>
            <w:r w:rsidRPr="00B52DB4">
              <w:rPr>
                <w:rFonts w:ascii="Arial" w:eastAsia="Arial" w:hAnsi="Arial" w:cs="Arial"/>
                <w:b/>
                <w:sz w:val="20"/>
                <w:szCs w:val="20"/>
              </w:rPr>
              <w:t>3.208.000</w:t>
            </w:r>
          </w:p>
        </w:tc>
      </w:tr>
    </w:tbl>
    <w:p w14:paraId="730DFAC5" w14:textId="77777777" w:rsidR="00E47B45" w:rsidRPr="00654AEB" w:rsidRDefault="00E47B45" w:rsidP="00654AEB">
      <w:pPr>
        <w:spacing w:before="60" w:after="0" w:line="240" w:lineRule="auto"/>
        <w:rPr>
          <w:rFonts w:ascii="Arial" w:eastAsia="Arial" w:hAnsi="Arial" w:cs="Arial"/>
        </w:rPr>
      </w:pPr>
    </w:p>
    <w:p w14:paraId="76215D45" w14:textId="48DB5772" w:rsidR="00F43B56" w:rsidRDefault="00F43B56" w:rsidP="00F43B56">
      <w:pPr>
        <w:spacing w:before="120" w:after="0" w:line="240" w:lineRule="auto"/>
        <w:jc w:val="both"/>
        <w:rPr>
          <w:rFonts w:ascii="Arial" w:eastAsia="Arial" w:hAnsi="Arial" w:cs="Arial"/>
        </w:rPr>
      </w:pPr>
      <w:r>
        <w:rPr>
          <w:rFonts w:ascii="Arial" w:eastAsia="Arial" w:hAnsi="Arial" w:cs="Arial"/>
        </w:rPr>
        <w:t>*</w:t>
      </w:r>
      <w:r w:rsidR="00715A43" w:rsidRPr="00F43B56">
        <w:rPr>
          <w:rFonts w:ascii="Arial" w:eastAsia="Arial" w:hAnsi="Arial" w:cs="Arial"/>
        </w:rPr>
        <w:t xml:space="preserve">Component 2 </w:t>
      </w:r>
      <w:r w:rsidR="0AE05905" w:rsidRPr="6DCFC8F5">
        <w:rPr>
          <w:rFonts w:ascii="Arial" w:eastAsia="Arial" w:hAnsi="Arial" w:cs="Arial"/>
        </w:rPr>
        <w:t xml:space="preserve">and audit </w:t>
      </w:r>
      <w:r w:rsidR="00715A43" w:rsidRPr="00F43B56">
        <w:rPr>
          <w:rFonts w:ascii="Arial" w:eastAsia="Arial" w:hAnsi="Arial" w:cs="Arial"/>
        </w:rPr>
        <w:t>will be executed by ACODAL</w:t>
      </w:r>
      <w:r w:rsidR="00715A43" w:rsidRPr="6DCFC8F5">
        <w:rPr>
          <w:rFonts w:ascii="Arial" w:eastAsia="Arial" w:hAnsi="Arial" w:cs="Arial"/>
        </w:rPr>
        <w:t>.</w:t>
      </w:r>
      <w:r w:rsidR="00715A43" w:rsidRPr="00F43B56">
        <w:rPr>
          <w:rFonts w:ascii="Arial" w:eastAsia="Arial" w:hAnsi="Arial" w:cs="Arial"/>
        </w:rPr>
        <w:t xml:space="preserve"> Other resources by the IDB. </w:t>
      </w:r>
    </w:p>
    <w:p w14:paraId="6BA92CBC" w14:textId="77777777" w:rsidR="00F43B56" w:rsidRDefault="00F43B56" w:rsidP="00F43B56">
      <w:pPr>
        <w:spacing w:before="120" w:after="0" w:line="240" w:lineRule="auto"/>
        <w:jc w:val="both"/>
        <w:rPr>
          <w:rFonts w:ascii="Arial" w:eastAsia="Arial" w:hAnsi="Arial" w:cs="Arial"/>
        </w:rPr>
      </w:pPr>
      <w:r w:rsidRPr="009C7CAD">
        <w:rPr>
          <w:rFonts w:ascii="Arial" w:eastAsia="Arial" w:hAnsi="Arial" w:cs="Arial"/>
        </w:rPr>
        <w:t>*</w:t>
      </w:r>
      <w:r>
        <w:rPr>
          <w:rFonts w:ascii="Arial" w:eastAsia="Arial" w:hAnsi="Arial" w:cs="Arial"/>
        </w:rPr>
        <w:t>*</w:t>
      </w:r>
      <w:r w:rsidRPr="009C7CAD">
        <w:rPr>
          <w:rFonts w:ascii="Arial" w:eastAsia="Arial" w:hAnsi="Arial" w:cs="Arial"/>
        </w:rPr>
        <w:t>In-kind contribution from ANDESCO and ACODAL</w:t>
      </w:r>
    </w:p>
    <w:p w14:paraId="74E0B5BE" w14:textId="77777777" w:rsidR="00F43B56" w:rsidRPr="00F43B56" w:rsidRDefault="00F43B56" w:rsidP="00F43B56">
      <w:pPr>
        <w:spacing w:before="120" w:after="120" w:line="240" w:lineRule="auto"/>
        <w:jc w:val="both"/>
        <w:rPr>
          <w:rFonts w:ascii="Arial" w:eastAsia="Arial" w:hAnsi="Arial" w:cs="Arial"/>
        </w:rPr>
      </w:pPr>
    </w:p>
    <w:p w14:paraId="3BBAB21C" w14:textId="00C977CE" w:rsidR="007B500B" w:rsidRPr="00F43B56" w:rsidRDefault="00D308FF" w:rsidP="00F43B56">
      <w:pPr>
        <w:pStyle w:val="Prrafodelista"/>
        <w:numPr>
          <w:ilvl w:val="1"/>
          <w:numId w:val="5"/>
        </w:numPr>
        <w:spacing w:before="120" w:after="120" w:line="240" w:lineRule="auto"/>
        <w:ind w:hanging="540"/>
        <w:contextualSpacing w:val="0"/>
        <w:jc w:val="both"/>
        <w:rPr>
          <w:rFonts w:ascii="Arial" w:eastAsia="Arial" w:hAnsi="Arial" w:cs="Arial"/>
        </w:rPr>
      </w:pPr>
      <w:r w:rsidRPr="00D308FF">
        <w:rPr>
          <w:rFonts w:ascii="Arial" w:eastAsia="Arial" w:hAnsi="Arial" w:cs="Arial"/>
          <w:b/>
          <w:bCs/>
        </w:rPr>
        <w:t>SECO Contribution Resources.</w:t>
      </w:r>
      <w:r w:rsidRPr="00D308FF">
        <w:rPr>
          <w:rFonts w:ascii="Arial" w:eastAsia="Arial" w:hAnsi="Arial" w:cs="Arial"/>
        </w:rPr>
        <w:t xml:space="preserve"> Resources of this project to be received from SECO through a Project Specific Grant (PSG). A PSG is administered by the Bank according to the “Report on COFABS, Ad-Hocs and CLFGS and a Proposal to Unify Them as Project Specific Grants (PSGs)” (Document SC-114). As contemplated in these procedures, the commitment by SECO will be established through a separate Administration Agreement. Under such agreement, the resources for this project will be administered by the Bank and the Bank will charge a non-refundable administration fee of 5% of the contribution. The 5% administration fee will be charged upon the Bank’s receipt of the contribution. The administration fee will be distributed to the Bank’s departments as applicable, in relation to the workload due to preparation, execution, and monitoring of the operation as well as administration of the PSG Agreement</w:t>
      </w:r>
      <w:r>
        <w:rPr>
          <w:rFonts w:ascii="Arial" w:eastAsia="Arial" w:hAnsi="Arial" w:cs="Arial"/>
        </w:rPr>
        <w:t>.</w:t>
      </w:r>
    </w:p>
    <w:p w14:paraId="3BBAB21D" w14:textId="77E88B27" w:rsidR="00F6363D" w:rsidRDefault="00D02ED5" w:rsidP="54260729">
      <w:pPr>
        <w:pStyle w:val="Prrafodelista"/>
        <w:numPr>
          <w:ilvl w:val="1"/>
          <w:numId w:val="5"/>
        </w:numPr>
        <w:spacing w:before="120" w:after="120" w:line="240" w:lineRule="auto"/>
        <w:ind w:hanging="540"/>
        <w:contextualSpacing w:val="0"/>
        <w:jc w:val="both"/>
        <w:rPr>
          <w:rFonts w:ascii="Arial" w:eastAsia="Arial" w:hAnsi="Arial" w:cs="Arial"/>
        </w:rPr>
      </w:pPr>
      <w:r w:rsidRPr="00D02ED5">
        <w:rPr>
          <w:rFonts w:ascii="Arial" w:eastAsia="Arial" w:hAnsi="Arial" w:cs="Arial"/>
          <w:b/>
          <w:bCs/>
        </w:rPr>
        <w:t>Monitoring and Evaluation</w:t>
      </w:r>
      <w:r w:rsidRPr="00D02ED5">
        <w:rPr>
          <w:rFonts w:ascii="Arial" w:eastAsia="Arial" w:hAnsi="Arial" w:cs="Arial"/>
        </w:rPr>
        <w:t>. IDB will have overall responsibility for project implementation, the fiduciary responsibility and will be responsible for progress and financial reporting to SECO. SECO Bogota, together with SECO headquarter</w:t>
      </w:r>
      <w:r w:rsidR="007B1B07">
        <w:rPr>
          <w:rFonts w:ascii="Arial" w:eastAsia="Arial" w:hAnsi="Arial" w:cs="Arial"/>
        </w:rPr>
        <w:t>s</w:t>
      </w:r>
      <w:r w:rsidRPr="00D02ED5">
        <w:rPr>
          <w:rFonts w:ascii="Arial" w:eastAsia="Arial" w:hAnsi="Arial" w:cs="Arial"/>
        </w:rPr>
        <w:t xml:space="preserve"> will validate these reports. The project team will be responsible for the preparation and submission to the donor of the project reporting, in compliance with the stipulations of the Administration Agreement. IDB will provide SECO with semi-annual operational and financial reports and a final report at the end of the Program. Monitoring, evaluation and reporting of results will be a collaborative effort between IDB, ANDESCO and ACODAL. </w:t>
      </w:r>
    </w:p>
    <w:p w14:paraId="1316B5F9" w14:textId="77777777" w:rsidR="00B26D13" w:rsidRDefault="00B26D13" w:rsidP="00B26D13">
      <w:pPr>
        <w:pStyle w:val="Prrafodelista"/>
        <w:numPr>
          <w:ilvl w:val="1"/>
          <w:numId w:val="5"/>
        </w:numPr>
        <w:spacing w:before="120" w:after="120" w:line="240" w:lineRule="auto"/>
        <w:ind w:hanging="540"/>
        <w:contextualSpacing w:val="0"/>
        <w:jc w:val="both"/>
        <w:rPr>
          <w:rFonts w:ascii="Arial" w:eastAsia="Arial" w:hAnsi="Arial" w:cs="Arial"/>
        </w:rPr>
      </w:pPr>
      <w:r w:rsidRPr="00B26D13">
        <w:rPr>
          <w:rFonts w:ascii="Arial" w:eastAsia="Arial" w:hAnsi="Arial" w:cs="Arial"/>
        </w:rPr>
        <w:t>No transaction costs related to the Bank's supervision are anticipated. The monitoring of the TC execution will be carried out through: (i) technical working meetings with the executor; (ii) result and activity reports; and (iii) other progress and completion reports required according to SECO and IDB policies.</w:t>
      </w:r>
    </w:p>
    <w:p w14:paraId="1FC73BE6" w14:textId="2D2826CA" w:rsidR="00682309" w:rsidRDefault="00DB3937" w:rsidP="0075126D">
      <w:pPr>
        <w:pStyle w:val="Prrafodelista"/>
        <w:numPr>
          <w:ilvl w:val="1"/>
          <w:numId w:val="5"/>
        </w:numPr>
        <w:spacing w:before="120" w:after="120" w:line="240" w:lineRule="auto"/>
        <w:ind w:hanging="540"/>
        <w:contextualSpacing w:val="0"/>
        <w:jc w:val="both"/>
        <w:rPr>
          <w:rFonts w:ascii="Arial" w:eastAsia="Arial" w:hAnsi="Arial" w:cs="Arial"/>
        </w:rPr>
      </w:pPr>
      <w:r w:rsidRPr="00DB3937">
        <w:rPr>
          <w:rFonts w:ascii="Arial" w:eastAsia="Arial" w:hAnsi="Arial" w:cs="Arial"/>
        </w:rPr>
        <w:t>Costs include travel expenses for both the PCU members and IDB staff. All program documents and records, particularly those supporting financial management, will be under the custody of the PCU. These documents and records must be adequate to: (i) support the activities, decisions, and transactions related to the program, including all incurred expenses; and (ii) demonstrate the correlation of expenses incurred against program resources. Costs associated with Bank staff travel during program implementation are limited to activities essential to achieving the program's objectives and allow the Bank to continue developing the implementation know-how, which can be replicated in other countries.</w:t>
      </w:r>
    </w:p>
    <w:p w14:paraId="50FF0B9F" w14:textId="77777777" w:rsidR="0075126D" w:rsidRPr="0075126D" w:rsidRDefault="0075126D" w:rsidP="0075126D">
      <w:pPr>
        <w:pStyle w:val="Prrafodelista"/>
        <w:spacing w:before="120" w:after="120" w:line="240" w:lineRule="auto"/>
        <w:ind w:left="360"/>
        <w:contextualSpacing w:val="0"/>
        <w:jc w:val="both"/>
        <w:rPr>
          <w:rFonts w:ascii="Arial" w:eastAsia="Arial" w:hAnsi="Arial" w:cs="Arial"/>
        </w:rPr>
      </w:pPr>
    </w:p>
    <w:p w14:paraId="3BBAB21F" w14:textId="04354295" w:rsidR="0095711B" w:rsidRPr="000F744C" w:rsidRDefault="0095711B" w:rsidP="54260729">
      <w:pPr>
        <w:pStyle w:val="Prrafodelista"/>
        <w:numPr>
          <w:ilvl w:val="0"/>
          <w:numId w:val="5"/>
        </w:numPr>
        <w:spacing w:before="120" w:after="120" w:line="240" w:lineRule="auto"/>
        <w:contextualSpacing w:val="0"/>
        <w:rPr>
          <w:rFonts w:ascii="Arial" w:eastAsia="Arial" w:hAnsi="Arial" w:cs="Arial"/>
          <w:b/>
          <w:bCs/>
        </w:rPr>
      </w:pPr>
      <w:r w:rsidRPr="26B9D784">
        <w:rPr>
          <w:rFonts w:ascii="Arial" w:eastAsia="Arial" w:hAnsi="Arial" w:cs="Arial"/>
          <w:b/>
          <w:bCs/>
        </w:rPr>
        <w:t>Executing agency and execution structure</w:t>
      </w:r>
    </w:p>
    <w:p w14:paraId="65FFB393" w14:textId="77777777" w:rsidR="00BD525C" w:rsidRDefault="00BD525C" w:rsidP="00BD525C">
      <w:pPr>
        <w:pStyle w:val="Prrafodelista"/>
        <w:numPr>
          <w:ilvl w:val="1"/>
          <w:numId w:val="5"/>
        </w:numPr>
        <w:spacing w:before="120" w:after="120" w:line="240" w:lineRule="auto"/>
        <w:ind w:hanging="540"/>
        <w:contextualSpacing w:val="0"/>
        <w:jc w:val="both"/>
        <w:rPr>
          <w:rFonts w:ascii="Arial" w:eastAsia="Arial" w:hAnsi="Arial" w:cs="Arial"/>
        </w:rPr>
      </w:pPr>
      <w:r>
        <w:rPr>
          <w:rFonts w:ascii="Arial" w:eastAsia="Arial" w:hAnsi="Arial" w:cs="Arial"/>
        </w:rPr>
        <w:t>INE/</w:t>
      </w:r>
      <w:r w:rsidRPr="007F543E">
        <w:rPr>
          <w:rFonts w:ascii="Arial" w:eastAsia="Arial" w:hAnsi="Arial" w:cs="Arial"/>
        </w:rPr>
        <w:t xml:space="preserve">WSA will be responsible for the administration, planning, control, and supervision of the assigned financial resources, as well as all activities related to the proper preparation and scheduling of the operation. The focal point at the IDB office in Colombia responsible for the execution of the TC will be </w:t>
      </w:r>
      <w:r w:rsidRPr="00B87C8A">
        <w:rPr>
          <w:rFonts w:ascii="Arial" w:eastAsia="Arial" w:hAnsi="Arial" w:cs="Arial"/>
        </w:rPr>
        <w:t xml:space="preserve">the Water and Sanitation Specialist based in Colombia </w:t>
      </w:r>
      <w:r w:rsidRPr="007F543E">
        <w:rPr>
          <w:rFonts w:ascii="Arial" w:eastAsia="Arial" w:hAnsi="Arial" w:cs="Arial"/>
        </w:rPr>
        <w:t xml:space="preserve">and </w:t>
      </w:r>
      <w:r w:rsidRPr="00027FBE">
        <w:rPr>
          <w:rFonts w:ascii="Arial" w:eastAsia="Arial" w:hAnsi="Arial" w:cs="Arial"/>
        </w:rPr>
        <w:t xml:space="preserve">a Water and Sanitation Specialist based in Headquarters will act </w:t>
      </w:r>
      <w:r w:rsidRPr="007F543E">
        <w:rPr>
          <w:rFonts w:ascii="Arial" w:eastAsia="Arial" w:hAnsi="Arial" w:cs="Arial"/>
        </w:rPr>
        <w:t>as the alternate contact in his unavailability</w:t>
      </w:r>
      <w:r>
        <w:rPr>
          <w:rFonts w:ascii="Arial" w:eastAsia="Arial" w:hAnsi="Arial" w:cs="Arial"/>
        </w:rPr>
        <w:t>.</w:t>
      </w:r>
    </w:p>
    <w:p w14:paraId="10354B6F" w14:textId="65FD501B" w:rsidR="009C5EA9" w:rsidRDefault="009C5EA9" w:rsidP="10AE3A21">
      <w:pPr>
        <w:pStyle w:val="Prrafodelista"/>
        <w:numPr>
          <w:ilvl w:val="1"/>
          <w:numId w:val="5"/>
        </w:numPr>
        <w:spacing w:before="120" w:after="120" w:line="240" w:lineRule="auto"/>
        <w:contextualSpacing w:val="0"/>
        <w:jc w:val="both"/>
        <w:rPr>
          <w:rFonts w:ascii="Arial" w:eastAsia="Arial" w:hAnsi="Arial" w:cs="Arial"/>
        </w:rPr>
      </w:pPr>
      <w:r w:rsidRPr="009C5EA9">
        <w:rPr>
          <w:rFonts w:ascii="Arial" w:eastAsia="Arial" w:hAnsi="Arial" w:cs="Arial"/>
        </w:rPr>
        <w:t xml:space="preserve">The Inter-American Development Bank, through its Water and Sanitation Division and ACODAL will execute the TC. ACODAL will execute activities in component 2 and the </w:t>
      </w:r>
      <w:r w:rsidRPr="009C5EA9">
        <w:rPr>
          <w:rFonts w:ascii="Arial" w:eastAsia="Arial" w:hAnsi="Arial" w:cs="Arial"/>
        </w:rPr>
        <w:lastRenderedPageBreak/>
        <w:t>audit, and the IDB will execute the rest</w:t>
      </w:r>
      <w:r>
        <w:rPr>
          <w:rStyle w:val="Refdenotaalpie"/>
          <w:rFonts w:ascii="Arial" w:eastAsia="Arial" w:hAnsi="Arial" w:cs="Arial"/>
        </w:rPr>
        <w:footnoteReference w:id="22"/>
      </w:r>
      <w:r w:rsidRPr="009C5EA9">
        <w:rPr>
          <w:rFonts w:ascii="Arial" w:eastAsia="Arial" w:hAnsi="Arial" w:cs="Arial"/>
        </w:rPr>
        <w:t xml:space="preserve">, as requested by the Ministry of Housing, City and Territory (see Annex </w:t>
      </w:r>
      <w:r w:rsidR="00636193">
        <w:rPr>
          <w:rFonts w:ascii="Arial" w:eastAsia="Arial" w:hAnsi="Arial" w:cs="Arial"/>
        </w:rPr>
        <w:t>I</w:t>
      </w:r>
      <w:r w:rsidRPr="009C5EA9">
        <w:rPr>
          <w:rFonts w:ascii="Arial" w:eastAsia="Arial" w:hAnsi="Arial" w:cs="Arial"/>
        </w:rPr>
        <w:t>) due to the experience of the two entities in the processes of strengthening utilities and the water and sanitation sector in Colombia. This will ensure that the commitment to the donor to execute the program efficiently is fulfilled, while strengthening the associations.</w:t>
      </w:r>
    </w:p>
    <w:p w14:paraId="23E318DF" w14:textId="6A1F99BC" w:rsidR="00302266" w:rsidRDefault="00302266" w:rsidP="00FF5A10">
      <w:pPr>
        <w:pStyle w:val="Prrafodelista"/>
        <w:numPr>
          <w:ilvl w:val="1"/>
          <w:numId w:val="5"/>
        </w:numPr>
        <w:spacing w:before="120" w:after="120" w:line="240" w:lineRule="auto"/>
        <w:contextualSpacing w:val="0"/>
        <w:jc w:val="both"/>
        <w:rPr>
          <w:rFonts w:ascii="Arial" w:eastAsia="Arial" w:hAnsi="Arial" w:cs="Arial"/>
        </w:rPr>
      </w:pPr>
      <w:r w:rsidRPr="00302266">
        <w:rPr>
          <w:rFonts w:ascii="Arial" w:eastAsia="Arial" w:hAnsi="Arial" w:cs="Arial"/>
        </w:rPr>
        <w:t>The Bank gained important experience and knowledge while executing CO-T1457 (Phase I) and will bring continuity to CO-T1772</w:t>
      </w:r>
      <w:r>
        <w:rPr>
          <w:rFonts w:ascii="Arial" w:eastAsia="Arial" w:hAnsi="Arial" w:cs="Arial"/>
        </w:rPr>
        <w:t xml:space="preserve"> </w:t>
      </w:r>
      <w:r w:rsidRPr="00302266">
        <w:rPr>
          <w:rFonts w:ascii="Arial" w:eastAsia="Arial" w:hAnsi="Arial" w:cs="Arial"/>
        </w:rPr>
        <w:t xml:space="preserve">(Phase II). A Project Coordinating Unit (PCU) will be created, </w:t>
      </w:r>
      <w:r w:rsidR="005C2475" w:rsidRPr="005C2475">
        <w:rPr>
          <w:rFonts w:ascii="Arial" w:eastAsia="Arial" w:hAnsi="Arial" w:cs="Arial"/>
        </w:rPr>
        <w:t xml:space="preserve">exclusively for the execution of the TC, with external consultants, and </w:t>
      </w:r>
      <w:r w:rsidRPr="00302266">
        <w:rPr>
          <w:rFonts w:ascii="Arial" w:eastAsia="Arial" w:hAnsi="Arial" w:cs="Arial"/>
        </w:rPr>
        <w:t>preferably with the professionals who executed Phase I</w:t>
      </w:r>
      <w:r>
        <w:rPr>
          <w:rStyle w:val="Refdenotaalpie"/>
          <w:rFonts w:ascii="Arial" w:eastAsia="Arial" w:hAnsi="Arial" w:cs="Arial"/>
        </w:rPr>
        <w:footnoteReference w:id="23"/>
      </w:r>
      <w:r w:rsidRPr="00302266">
        <w:rPr>
          <w:rFonts w:ascii="Arial" w:eastAsia="Arial" w:hAnsi="Arial" w:cs="Arial"/>
        </w:rPr>
        <w:t>, ensuring a smooth transition and capitalizing on the knowledge acquired and lessons learned; it will also receive support from the Office of Financial Management and Procurement Services for Operations.</w:t>
      </w:r>
    </w:p>
    <w:p w14:paraId="53E04924" w14:textId="7979BF81" w:rsidR="00BC2066" w:rsidRPr="00FB3998" w:rsidRDefault="00BC2066" w:rsidP="00FB3998">
      <w:pPr>
        <w:pStyle w:val="Prrafodelista"/>
        <w:numPr>
          <w:ilvl w:val="1"/>
          <w:numId w:val="5"/>
        </w:numPr>
        <w:spacing w:before="120" w:after="120" w:line="240" w:lineRule="auto"/>
        <w:contextualSpacing w:val="0"/>
        <w:jc w:val="both"/>
        <w:rPr>
          <w:rFonts w:ascii="Arial" w:eastAsia="Arial" w:hAnsi="Arial" w:cs="Arial"/>
        </w:rPr>
      </w:pPr>
      <w:r w:rsidRPr="00FB3998">
        <w:rPr>
          <w:rFonts w:ascii="Arial" w:eastAsia="Arial" w:hAnsi="Arial" w:cs="Arial"/>
        </w:rPr>
        <w:t xml:space="preserve">The </w:t>
      </w:r>
      <w:r w:rsidR="00FB3998" w:rsidRPr="00FB3998">
        <w:rPr>
          <w:rFonts w:ascii="Arial" w:eastAsia="Arial" w:hAnsi="Arial" w:cs="Arial"/>
        </w:rPr>
        <w:t xml:space="preserve">PCU will be hired directly by the IDB and will be coordinated by the IDB WSA Specialist in Colombia. The PCU will be composed </w:t>
      </w:r>
      <w:proofErr w:type="gramStart"/>
      <w:r w:rsidR="00FB3998" w:rsidRPr="00FB3998">
        <w:rPr>
          <w:rFonts w:ascii="Arial" w:eastAsia="Arial" w:hAnsi="Arial" w:cs="Arial"/>
        </w:rPr>
        <w:t>by:</w:t>
      </w:r>
      <w:proofErr w:type="gramEnd"/>
      <w:r w:rsidR="00FB3998" w:rsidRPr="00FB3998">
        <w:rPr>
          <w:rFonts w:ascii="Arial" w:eastAsia="Arial" w:hAnsi="Arial" w:cs="Arial"/>
        </w:rPr>
        <w:t xml:space="preserve"> i) a full-time Project Planning and Management Specialist, ii) a full-time Corporate Development Specialist, a iii) a full-time Procurement and Administrative Support professional, iv) a part-time Sector Specialist, and v) a cluster of itinerant technical specialists based on technical topics as needed. The PCU will provide strategic guidance, oversight the implementation of component 2 activities, and ensure that ACODAL complies with the execution requirements.</w:t>
      </w:r>
    </w:p>
    <w:p w14:paraId="75921962" w14:textId="62D98F9F" w:rsidR="00DC1001" w:rsidRDefault="00DC1001" w:rsidP="00FF5A10">
      <w:pPr>
        <w:pStyle w:val="Prrafodelista"/>
        <w:numPr>
          <w:ilvl w:val="1"/>
          <w:numId w:val="5"/>
        </w:numPr>
        <w:spacing w:before="120" w:after="120" w:line="240" w:lineRule="auto"/>
        <w:contextualSpacing w:val="0"/>
        <w:jc w:val="both"/>
        <w:rPr>
          <w:rFonts w:ascii="Arial" w:eastAsia="Arial" w:hAnsi="Arial" w:cs="Arial"/>
        </w:rPr>
      </w:pPr>
      <w:r w:rsidRPr="00DC1001">
        <w:rPr>
          <w:rFonts w:ascii="Arial" w:eastAsia="Arial" w:hAnsi="Arial" w:cs="Arial"/>
        </w:rPr>
        <w:t>ACODAL demonstrated their capacity while successfully executing “Work Plan of the Water Operator’s Partnership Colombia Platform (WOP-Colombia)” - CO-T1555; they will have a coordinator, and support from legal, accounting</w:t>
      </w:r>
      <w:r w:rsidR="00560A71">
        <w:rPr>
          <w:rFonts w:ascii="Arial" w:eastAsia="Arial" w:hAnsi="Arial" w:cs="Arial"/>
        </w:rPr>
        <w:t xml:space="preserve">, </w:t>
      </w:r>
      <w:r w:rsidRPr="00DC1001">
        <w:rPr>
          <w:rFonts w:ascii="Arial" w:eastAsia="Arial" w:hAnsi="Arial" w:cs="Arial"/>
        </w:rPr>
        <w:t xml:space="preserve">communications and the administration of the association. ACODAL is a non-profit professional association with 67 years of existence, bringing together all stakeholders in the water, sanitation, and environment sector. Since 1980, it has been the Colombian chapter of the Inter-American Association of Sanitary and Environmental Engineering (AIDIS). Thus, ACODAL is an important actor with significant influence in the water and sanitation sector, maintaining a close relationship with the IDB, and having the capacity to mobilize and coordinate the execution of this TC. </w:t>
      </w:r>
      <w:r w:rsidR="00E54BAD" w:rsidRPr="00E54BAD">
        <w:rPr>
          <w:rFonts w:ascii="Arial" w:eastAsia="Arial" w:hAnsi="Arial" w:cs="Arial"/>
        </w:rPr>
        <w:t>ACODAL will be responsible for the proper execution of activities and the management of resources for Component 2 and the audit of this component</w:t>
      </w:r>
      <w:r w:rsidRPr="00DC1001">
        <w:rPr>
          <w:rFonts w:ascii="Arial" w:eastAsia="Arial" w:hAnsi="Arial" w:cs="Arial"/>
        </w:rPr>
        <w:t>. It will also handle accounting and financial management and present the project's audited financial statements within ninety days of the final disbursement, which will be reviewed by an independent auditing firm acceptable to the Bank</w:t>
      </w:r>
      <w:r>
        <w:rPr>
          <w:rStyle w:val="Refdenotaalpie"/>
          <w:rFonts w:ascii="Arial" w:eastAsia="Arial" w:hAnsi="Arial" w:cs="Arial"/>
        </w:rPr>
        <w:footnoteReference w:id="24"/>
      </w:r>
      <w:r w:rsidRPr="00DC1001">
        <w:rPr>
          <w:rFonts w:ascii="Arial" w:eastAsia="Arial" w:hAnsi="Arial" w:cs="Arial"/>
        </w:rPr>
        <w:t>.</w:t>
      </w:r>
    </w:p>
    <w:p w14:paraId="13DFEA8E" w14:textId="5DB70E9F" w:rsidR="00157A85" w:rsidRDefault="007907C0" w:rsidP="009E49A1">
      <w:pPr>
        <w:pStyle w:val="Prrafodelista"/>
        <w:numPr>
          <w:ilvl w:val="1"/>
          <w:numId w:val="5"/>
        </w:numPr>
        <w:spacing w:before="120" w:after="120" w:line="240" w:lineRule="auto"/>
        <w:contextualSpacing w:val="0"/>
        <w:jc w:val="both"/>
        <w:rPr>
          <w:rFonts w:ascii="Arial" w:eastAsia="Arial" w:hAnsi="Arial" w:cs="Arial"/>
        </w:rPr>
      </w:pPr>
      <w:r w:rsidRPr="0034334E">
        <w:rPr>
          <w:rFonts w:ascii="Arial" w:eastAsia="Arial" w:hAnsi="Arial" w:cs="Arial"/>
        </w:rPr>
        <w:t>The</w:t>
      </w:r>
      <w:r w:rsidR="0034334E" w:rsidRPr="0034334E">
        <w:rPr>
          <w:rFonts w:ascii="Arial" w:eastAsia="Arial" w:hAnsi="Arial" w:cs="Arial"/>
        </w:rPr>
        <w:t xml:space="preserve"> execution period will be 39 months. The activities to be carried out under this operation have been included in the Procurement Plan (Annex IV) and will be executed according to the procurement methods established by the Bank. Individual consultants and consulting firms, hired by the Bank will follow procurement policies: (i) Hiring of individual consultants, as established in the regulation on Complementary Workforce </w:t>
      </w:r>
      <w:r w:rsidR="0034334E" w:rsidRPr="0034334E">
        <w:rPr>
          <w:rFonts w:ascii="Arial" w:eastAsia="Arial" w:hAnsi="Arial" w:cs="Arial"/>
        </w:rPr>
        <w:lastRenderedPageBreak/>
        <w:t xml:space="preserve">(AM-650) and (ii) Contracting of services provided by consulting firms in accordance with the Corporate </w:t>
      </w:r>
      <w:r w:rsidR="004C458F">
        <w:rPr>
          <w:rFonts w:ascii="Arial" w:eastAsia="Arial" w:hAnsi="Arial" w:cs="Arial"/>
        </w:rPr>
        <w:t>P</w:t>
      </w:r>
      <w:r w:rsidR="0034334E" w:rsidRPr="0034334E">
        <w:rPr>
          <w:rFonts w:ascii="Arial" w:eastAsia="Arial" w:hAnsi="Arial" w:cs="Arial"/>
        </w:rPr>
        <w:t xml:space="preserve">rocurement Policy (GN-2303-33) and its Guidelines. The contracting of consultancies services executed by ACODAL shall be carried out in accordance with the policies for the selection and hiring of consultants financed by the Inter-American Development Bank (GN-2350-15, Appendix 4). ACODAL must consider in its processes the eligibility requirements (origin and nationality), as well as those of integrity (prohibited practices) established in section I of the IDB policy documents. ACODAL will carry out the financial management of the components that it is executing, in accordance with the Bank’s Financial Management Guidelines OP-273-12 or subsequent updates. The Bank will notify ACODAL of any updates to policies and procedures. The terms of reference for ACODAL's contracts will require the Bank's no-objection. </w:t>
      </w:r>
    </w:p>
    <w:p w14:paraId="7600FCFE" w14:textId="18637CDE" w:rsidR="0030469F" w:rsidRPr="0034334E" w:rsidRDefault="00B26A45" w:rsidP="009E49A1">
      <w:pPr>
        <w:pStyle w:val="Prrafodelista"/>
        <w:numPr>
          <w:ilvl w:val="1"/>
          <w:numId w:val="5"/>
        </w:numPr>
        <w:spacing w:before="120" w:after="120" w:line="240" w:lineRule="auto"/>
        <w:contextualSpacing w:val="0"/>
        <w:jc w:val="both"/>
        <w:rPr>
          <w:rFonts w:ascii="Arial" w:eastAsia="Arial" w:hAnsi="Arial" w:cs="Arial"/>
        </w:rPr>
      </w:pPr>
      <w:r w:rsidRPr="00B26A45">
        <w:rPr>
          <w:rFonts w:ascii="Arial" w:eastAsia="Arial" w:hAnsi="Arial" w:cs="Arial"/>
        </w:rPr>
        <w:t xml:space="preserve">According to the current IDB regulation, </w:t>
      </w:r>
      <w:r w:rsidR="00386209" w:rsidRPr="0034334E">
        <w:rPr>
          <w:rFonts w:ascii="Arial" w:eastAsia="Arial" w:hAnsi="Arial" w:cs="Arial"/>
        </w:rPr>
        <w:t>Disbursements to ACODAL will be made through advances of funds, based on actual liquidity needs. Additionally, to request a new disbursement, ACODAL must present a justification of expenses for at least 80</w:t>
      </w:r>
      <w:r w:rsidR="00DB1199" w:rsidRPr="0034334E">
        <w:rPr>
          <w:rFonts w:ascii="Arial" w:eastAsia="Arial" w:hAnsi="Arial" w:cs="Arial"/>
        </w:rPr>
        <w:t>% of the non-justified advance of funds balance.</w:t>
      </w:r>
      <w:r w:rsidR="00386209" w:rsidRPr="0034334E">
        <w:rPr>
          <w:rFonts w:ascii="Arial" w:eastAsia="Arial" w:hAnsi="Arial" w:cs="Arial"/>
        </w:rPr>
        <w:t xml:space="preserve"> ACODAL will present </w:t>
      </w:r>
      <w:r w:rsidR="00DB1199" w:rsidRPr="0034334E">
        <w:rPr>
          <w:rFonts w:ascii="Arial" w:eastAsia="Arial" w:hAnsi="Arial" w:cs="Arial"/>
        </w:rPr>
        <w:t xml:space="preserve">financial and progress </w:t>
      </w:r>
      <w:r w:rsidR="00386209" w:rsidRPr="0034334E">
        <w:rPr>
          <w:rFonts w:ascii="Arial" w:eastAsia="Arial" w:hAnsi="Arial" w:cs="Arial"/>
        </w:rPr>
        <w:t xml:space="preserve">semi-annual reports, in line with reporting obligations of the IDB to the donor. Additionally, they will present the </w:t>
      </w:r>
      <w:r w:rsidR="00DB1199" w:rsidRPr="0034334E">
        <w:rPr>
          <w:rFonts w:ascii="Arial" w:eastAsia="Arial" w:hAnsi="Arial" w:cs="Arial"/>
        </w:rPr>
        <w:t xml:space="preserve">non-audited special purpose project’s </w:t>
      </w:r>
      <w:r w:rsidR="00386209" w:rsidRPr="0034334E">
        <w:rPr>
          <w:rFonts w:ascii="Arial" w:eastAsia="Arial" w:hAnsi="Arial" w:cs="Arial"/>
        </w:rPr>
        <w:t>financial statements every year.</w:t>
      </w:r>
    </w:p>
    <w:p w14:paraId="29BE35A7" w14:textId="51455F7D" w:rsidR="00386209" w:rsidRDefault="009E5B7A" w:rsidP="00FF5A10">
      <w:pPr>
        <w:pStyle w:val="Prrafodelista"/>
        <w:numPr>
          <w:ilvl w:val="1"/>
          <w:numId w:val="5"/>
        </w:numPr>
        <w:spacing w:before="120" w:after="120" w:line="240" w:lineRule="auto"/>
        <w:contextualSpacing w:val="0"/>
        <w:jc w:val="both"/>
        <w:rPr>
          <w:rFonts w:ascii="Arial" w:eastAsia="Arial" w:hAnsi="Arial" w:cs="Arial"/>
        </w:rPr>
      </w:pPr>
      <w:r w:rsidRPr="009E5B7A">
        <w:rPr>
          <w:rFonts w:ascii="Arial" w:eastAsia="Arial" w:hAnsi="Arial" w:cs="Arial"/>
        </w:rPr>
        <w:t xml:space="preserve">The governance structure will include a Steering Committee composed of SECO, IDB, ANDESCO and ACODAL. The Steering Committee will </w:t>
      </w:r>
      <w:proofErr w:type="gramStart"/>
      <w:r w:rsidRPr="009E5B7A">
        <w:rPr>
          <w:rFonts w:ascii="Arial" w:eastAsia="Arial" w:hAnsi="Arial" w:cs="Arial"/>
        </w:rPr>
        <w:t>be in charge of</w:t>
      </w:r>
      <w:proofErr w:type="gramEnd"/>
      <w:r w:rsidRPr="009E5B7A">
        <w:rPr>
          <w:rFonts w:ascii="Arial" w:eastAsia="Arial" w:hAnsi="Arial" w:cs="Arial"/>
        </w:rPr>
        <w:t xml:space="preserve"> the strategic steering of the project and will discuss and approve annual operation plans, major challenges and government relations. SECO will have a veto right for important milestones and decisions regarding the strategic steering of the project.</w:t>
      </w:r>
    </w:p>
    <w:p w14:paraId="3F1F8633" w14:textId="0460036E" w:rsidR="00613260" w:rsidRDefault="00613260" w:rsidP="00FF5A10">
      <w:pPr>
        <w:pStyle w:val="Prrafodelista"/>
        <w:numPr>
          <w:ilvl w:val="1"/>
          <w:numId w:val="5"/>
        </w:numPr>
        <w:spacing w:before="120" w:after="120" w:line="240" w:lineRule="auto"/>
        <w:contextualSpacing w:val="0"/>
        <w:jc w:val="both"/>
        <w:rPr>
          <w:rFonts w:ascii="Arial" w:eastAsia="Arial" w:hAnsi="Arial" w:cs="Arial"/>
        </w:rPr>
      </w:pPr>
      <w:r w:rsidRPr="00613260">
        <w:rPr>
          <w:rFonts w:ascii="Arial" w:eastAsia="Arial" w:hAnsi="Arial" w:cs="Arial"/>
        </w:rPr>
        <w:t>SECO Bogota will represent SECO in the Steering Committee and be in charge for day-to-day coordination with the IDB. The IDB will be represented by the Water and Sanitation Sector Specialist in Colombia, and ANDESCO and ACODAL will be represented by their presidents.</w:t>
      </w:r>
    </w:p>
    <w:p w14:paraId="3AE0D026" w14:textId="77777777" w:rsidR="00B71F2B" w:rsidRDefault="00B71F2B" w:rsidP="00B71F2B">
      <w:pPr>
        <w:pStyle w:val="Prrafodelista"/>
        <w:spacing w:before="120" w:after="120" w:line="240" w:lineRule="auto"/>
        <w:ind w:left="360"/>
        <w:contextualSpacing w:val="0"/>
        <w:jc w:val="both"/>
        <w:rPr>
          <w:rFonts w:ascii="Arial" w:eastAsia="Arial" w:hAnsi="Arial" w:cs="Arial"/>
        </w:rPr>
      </w:pPr>
    </w:p>
    <w:p w14:paraId="3BBAB22C" w14:textId="24C4A2A5" w:rsidR="0095711B" w:rsidRPr="000F744C" w:rsidRDefault="54260729" w:rsidP="54260729">
      <w:pPr>
        <w:pStyle w:val="Prrafodelista"/>
        <w:numPr>
          <w:ilvl w:val="0"/>
          <w:numId w:val="5"/>
        </w:numPr>
        <w:spacing w:before="120" w:after="120" w:line="240" w:lineRule="auto"/>
        <w:contextualSpacing w:val="0"/>
        <w:rPr>
          <w:rFonts w:ascii="Arial" w:eastAsia="Arial" w:hAnsi="Arial" w:cs="Arial"/>
          <w:b/>
          <w:bCs/>
        </w:rPr>
      </w:pPr>
      <w:r w:rsidRPr="54260729">
        <w:rPr>
          <w:rFonts w:ascii="Arial" w:eastAsia="Arial" w:hAnsi="Arial" w:cs="Arial"/>
          <w:b/>
          <w:bCs/>
        </w:rPr>
        <w:t xml:space="preserve">Major issues </w:t>
      </w:r>
    </w:p>
    <w:p w14:paraId="5E47BCB7" w14:textId="77777777" w:rsidR="0044708F" w:rsidRDefault="000B72C5" w:rsidP="0044708F">
      <w:pPr>
        <w:pStyle w:val="Prrafodelista"/>
        <w:numPr>
          <w:ilvl w:val="1"/>
          <w:numId w:val="5"/>
        </w:numPr>
        <w:spacing w:before="120" w:after="120" w:line="240" w:lineRule="auto"/>
        <w:ind w:hanging="540"/>
        <w:contextualSpacing w:val="0"/>
        <w:jc w:val="both"/>
        <w:rPr>
          <w:rFonts w:ascii="Arial" w:eastAsia="Arial" w:hAnsi="Arial" w:cs="Arial"/>
        </w:rPr>
      </w:pPr>
      <w:r w:rsidRPr="000B72C5">
        <w:rPr>
          <w:rFonts w:ascii="Arial" w:eastAsia="Arial" w:hAnsi="Arial" w:cs="Arial"/>
        </w:rPr>
        <w:t>The overall risk of the project is estimated medium - low, as it builds upon well-established partnerships and upon “low-hanging fruits” with regards to fostering sustainability of the results achieved in phase I. The main risks identified include</w:t>
      </w:r>
      <w:r w:rsidR="00210766">
        <w:rPr>
          <w:rFonts w:ascii="Arial" w:eastAsia="Arial" w:hAnsi="Arial" w:cs="Arial"/>
        </w:rPr>
        <w:t>:</w:t>
      </w:r>
      <w:r w:rsidRPr="000B72C5">
        <w:rPr>
          <w:rFonts w:ascii="Arial" w:eastAsia="Arial" w:hAnsi="Arial" w:cs="Arial"/>
        </w:rPr>
        <w:t xml:space="preserve"> </w:t>
      </w:r>
      <w:r w:rsidR="00210766">
        <w:rPr>
          <w:rFonts w:ascii="Arial" w:eastAsia="Arial" w:hAnsi="Arial" w:cs="Arial"/>
        </w:rPr>
        <w:t>(</w:t>
      </w:r>
      <w:r w:rsidRPr="000B72C5">
        <w:rPr>
          <w:rFonts w:ascii="Arial" w:eastAsia="Arial" w:hAnsi="Arial" w:cs="Arial"/>
        </w:rPr>
        <w:t>i) the institutional restructuring and rotation of management level staff in the utilities and to a far lesser extent in the associations</w:t>
      </w:r>
      <w:r w:rsidR="00210766">
        <w:rPr>
          <w:rFonts w:ascii="Arial" w:eastAsia="Arial" w:hAnsi="Arial" w:cs="Arial"/>
        </w:rPr>
        <w:t>; (</w:t>
      </w:r>
      <w:r w:rsidRPr="000B72C5">
        <w:rPr>
          <w:rFonts w:ascii="Arial" w:eastAsia="Arial" w:hAnsi="Arial" w:cs="Arial"/>
        </w:rPr>
        <w:t>ii) a lack of political will and commitment from the new local authorities elected in 2023 and the boards of directors from the utilities</w:t>
      </w:r>
      <w:r w:rsidR="00210766">
        <w:rPr>
          <w:rFonts w:ascii="Arial" w:eastAsia="Arial" w:hAnsi="Arial" w:cs="Arial"/>
        </w:rPr>
        <w:t>; (</w:t>
      </w:r>
      <w:r w:rsidRPr="000B72C5">
        <w:rPr>
          <w:rFonts w:ascii="Arial" w:eastAsia="Arial" w:hAnsi="Arial" w:cs="Arial"/>
        </w:rPr>
        <w:t>iii) a lack of willingness to pay a subscription fee from the members and a lack of alternative funding sources to sustainably finance the Sectoral Action and the WOP platform</w:t>
      </w:r>
      <w:r w:rsidR="005C3C1B">
        <w:rPr>
          <w:rFonts w:ascii="Arial" w:eastAsia="Arial" w:hAnsi="Arial" w:cs="Arial"/>
        </w:rPr>
        <w:t>; (</w:t>
      </w:r>
      <w:r w:rsidRPr="000B72C5">
        <w:rPr>
          <w:rFonts w:ascii="Arial" w:eastAsia="Arial" w:hAnsi="Arial" w:cs="Arial"/>
        </w:rPr>
        <w:t xml:space="preserve">iv) the loss of key members of the </w:t>
      </w:r>
      <w:proofErr w:type="spellStart"/>
      <w:r w:rsidRPr="000B72C5">
        <w:rPr>
          <w:rFonts w:ascii="Arial" w:eastAsia="Arial" w:hAnsi="Arial" w:cs="Arial"/>
        </w:rPr>
        <w:t>programme</w:t>
      </w:r>
      <w:proofErr w:type="spellEnd"/>
      <w:r w:rsidRPr="000B72C5">
        <w:rPr>
          <w:rFonts w:ascii="Arial" w:eastAsia="Arial" w:hAnsi="Arial" w:cs="Arial"/>
        </w:rPr>
        <w:t xml:space="preserve"> implementation team</w:t>
      </w:r>
      <w:r w:rsidR="005C3C1B">
        <w:rPr>
          <w:rFonts w:ascii="Arial" w:eastAsia="Arial" w:hAnsi="Arial" w:cs="Arial"/>
        </w:rPr>
        <w:t>;</w:t>
      </w:r>
      <w:r w:rsidRPr="000B72C5">
        <w:rPr>
          <w:rFonts w:ascii="Arial" w:eastAsia="Arial" w:hAnsi="Arial" w:cs="Arial"/>
        </w:rPr>
        <w:t xml:space="preserve"> </w:t>
      </w:r>
      <w:r w:rsidR="005C3C1B">
        <w:rPr>
          <w:rFonts w:ascii="Arial" w:eastAsia="Arial" w:hAnsi="Arial" w:cs="Arial"/>
        </w:rPr>
        <w:t>(</w:t>
      </w:r>
      <w:r w:rsidRPr="000B72C5">
        <w:rPr>
          <w:rFonts w:ascii="Arial" w:eastAsia="Arial" w:hAnsi="Arial" w:cs="Arial"/>
        </w:rPr>
        <w:t>v) the non-compliance of ACODAL with the IDB’s standards for procurement and financial management (execution of component 2)</w:t>
      </w:r>
      <w:r w:rsidR="005C3C1B">
        <w:rPr>
          <w:rFonts w:ascii="Arial" w:eastAsia="Arial" w:hAnsi="Arial" w:cs="Arial"/>
        </w:rPr>
        <w:t>; and</w:t>
      </w:r>
      <w:r w:rsidRPr="000B72C5">
        <w:rPr>
          <w:rFonts w:ascii="Arial" w:eastAsia="Arial" w:hAnsi="Arial" w:cs="Arial"/>
        </w:rPr>
        <w:t xml:space="preserve"> </w:t>
      </w:r>
      <w:r w:rsidR="005C3C1B">
        <w:rPr>
          <w:rFonts w:ascii="Arial" w:eastAsia="Arial" w:hAnsi="Arial" w:cs="Arial"/>
        </w:rPr>
        <w:t>(</w:t>
      </w:r>
      <w:r w:rsidRPr="000B72C5">
        <w:rPr>
          <w:rFonts w:ascii="Arial" w:eastAsia="Arial" w:hAnsi="Arial" w:cs="Arial"/>
        </w:rPr>
        <w:t xml:space="preserve">vi) an increasing security risk in certain cities in Colombia. </w:t>
      </w:r>
    </w:p>
    <w:p w14:paraId="08FDA0EC" w14:textId="15C77534" w:rsidR="0044708F" w:rsidRDefault="0044708F" w:rsidP="0044708F">
      <w:pPr>
        <w:pStyle w:val="Prrafodelista"/>
        <w:numPr>
          <w:ilvl w:val="1"/>
          <w:numId w:val="5"/>
        </w:numPr>
        <w:spacing w:before="120" w:after="120" w:line="240" w:lineRule="auto"/>
        <w:ind w:hanging="540"/>
        <w:contextualSpacing w:val="0"/>
        <w:jc w:val="both"/>
        <w:rPr>
          <w:rFonts w:ascii="Arial" w:eastAsia="Arial" w:hAnsi="Arial" w:cs="Arial"/>
        </w:rPr>
      </w:pPr>
      <w:r w:rsidRPr="0044708F">
        <w:rPr>
          <w:rFonts w:ascii="Arial" w:eastAsia="Arial" w:hAnsi="Arial" w:cs="Arial"/>
        </w:rPr>
        <w:t>These risks are mitigated through</w:t>
      </w:r>
      <w:r w:rsidR="007255A6">
        <w:rPr>
          <w:rFonts w:ascii="Arial" w:eastAsia="Arial" w:hAnsi="Arial" w:cs="Arial"/>
        </w:rPr>
        <w:t>:</w:t>
      </w:r>
      <w:r w:rsidRPr="0044708F">
        <w:rPr>
          <w:rFonts w:ascii="Arial" w:eastAsia="Arial" w:hAnsi="Arial" w:cs="Arial"/>
        </w:rPr>
        <w:t xml:space="preserve"> </w:t>
      </w:r>
      <w:r w:rsidR="007255A6">
        <w:rPr>
          <w:rFonts w:ascii="Arial" w:eastAsia="Arial" w:hAnsi="Arial" w:cs="Arial"/>
        </w:rPr>
        <w:t>(</w:t>
      </w:r>
      <w:r w:rsidRPr="0044708F">
        <w:rPr>
          <w:rFonts w:ascii="Arial" w:eastAsia="Arial" w:hAnsi="Arial" w:cs="Arial"/>
        </w:rPr>
        <w:t>i) continuing working with second and third level employees who remain in the utilities despite the changes at the management level</w:t>
      </w:r>
      <w:r w:rsidR="007255A6">
        <w:rPr>
          <w:rFonts w:ascii="Arial" w:eastAsia="Arial" w:hAnsi="Arial" w:cs="Arial"/>
        </w:rPr>
        <w:t>; (</w:t>
      </w:r>
      <w:r w:rsidRPr="0044708F">
        <w:rPr>
          <w:rFonts w:ascii="Arial" w:eastAsia="Arial" w:hAnsi="Arial" w:cs="Arial"/>
        </w:rPr>
        <w:t xml:space="preserve">ii) on-boarding events with the new mandate holders to discuss the program's scope and benefits and to sign memorandums of commitment; </w:t>
      </w:r>
      <w:r w:rsidR="007255A6">
        <w:rPr>
          <w:rFonts w:ascii="Arial" w:eastAsia="Arial" w:hAnsi="Arial" w:cs="Arial"/>
        </w:rPr>
        <w:t>(</w:t>
      </w:r>
      <w:r w:rsidRPr="0044708F">
        <w:rPr>
          <w:rFonts w:ascii="Arial" w:eastAsia="Arial" w:hAnsi="Arial" w:cs="Arial"/>
        </w:rPr>
        <w:t>iii) further adjust the budget needs of the Sectoral Action and the WOP platform to the willingness to pay of its members and explore alternative sources of financing (fundraising events, etc</w:t>
      </w:r>
      <w:r w:rsidR="007255A6">
        <w:rPr>
          <w:rFonts w:ascii="Arial" w:eastAsia="Arial" w:hAnsi="Arial" w:cs="Arial"/>
        </w:rPr>
        <w:t>.</w:t>
      </w:r>
      <w:r w:rsidRPr="0044708F">
        <w:rPr>
          <w:rFonts w:ascii="Arial" w:eastAsia="Arial" w:hAnsi="Arial" w:cs="Arial"/>
        </w:rPr>
        <w:t>)</w:t>
      </w:r>
      <w:r w:rsidR="007255A6">
        <w:rPr>
          <w:rFonts w:ascii="Arial" w:eastAsia="Arial" w:hAnsi="Arial" w:cs="Arial"/>
        </w:rPr>
        <w:t>; (</w:t>
      </w:r>
      <w:r w:rsidRPr="0044708F">
        <w:rPr>
          <w:rFonts w:ascii="Arial" w:eastAsia="Arial" w:hAnsi="Arial" w:cs="Arial"/>
        </w:rPr>
        <w:t xml:space="preserve">iv) </w:t>
      </w:r>
      <w:r w:rsidRPr="0044708F">
        <w:rPr>
          <w:rFonts w:ascii="Arial" w:eastAsia="Arial" w:hAnsi="Arial" w:cs="Arial"/>
        </w:rPr>
        <w:lastRenderedPageBreak/>
        <w:t xml:space="preserve">continuous feedback with the project team, discussion and solution of problems, fostering a culture of appreciation; </w:t>
      </w:r>
      <w:r w:rsidR="007255A6">
        <w:rPr>
          <w:rFonts w:ascii="Arial" w:eastAsia="Arial" w:hAnsi="Arial" w:cs="Arial"/>
        </w:rPr>
        <w:t>(</w:t>
      </w:r>
      <w:r w:rsidRPr="0044708F">
        <w:rPr>
          <w:rFonts w:ascii="Arial" w:eastAsia="Arial" w:hAnsi="Arial" w:cs="Arial"/>
        </w:rPr>
        <w:t xml:space="preserve">v) close supervision of ACODAL and – if needed – provision of fiduciary training; </w:t>
      </w:r>
      <w:r w:rsidR="007255A6">
        <w:rPr>
          <w:rFonts w:ascii="Arial" w:eastAsia="Arial" w:hAnsi="Arial" w:cs="Arial"/>
        </w:rPr>
        <w:t>and (</w:t>
      </w:r>
      <w:r w:rsidRPr="0044708F">
        <w:rPr>
          <w:rFonts w:ascii="Arial" w:eastAsia="Arial" w:hAnsi="Arial" w:cs="Arial"/>
        </w:rPr>
        <w:t xml:space="preserve">vi) monitoring security alerts in collaboration with the IDB’s security office and adapt </w:t>
      </w:r>
      <w:proofErr w:type="spellStart"/>
      <w:r w:rsidRPr="0044708F">
        <w:rPr>
          <w:rFonts w:ascii="Arial" w:eastAsia="Arial" w:hAnsi="Arial" w:cs="Arial"/>
        </w:rPr>
        <w:t>Programme</w:t>
      </w:r>
      <w:proofErr w:type="spellEnd"/>
      <w:r w:rsidRPr="0044708F">
        <w:rPr>
          <w:rFonts w:ascii="Arial" w:eastAsia="Arial" w:hAnsi="Arial" w:cs="Arial"/>
        </w:rPr>
        <w:t xml:space="preserve"> activities accordingly.</w:t>
      </w:r>
    </w:p>
    <w:p w14:paraId="0CC22B16" w14:textId="5531BFE8" w:rsidR="007255A6" w:rsidRPr="0044708F" w:rsidRDefault="00A071CC" w:rsidP="0044708F">
      <w:pPr>
        <w:pStyle w:val="Prrafodelista"/>
        <w:numPr>
          <w:ilvl w:val="1"/>
          <w:numId w:val="5"/>
        </w:numPr>
        <w:spacing w:before="120" w:after="120" w:line="240" w:lineRule="auto"/>
        <w:ind w:hanging="540"/>
        <w:contextualSpacing w:val="0"/>
        <w:jc w:val="both"/>
        <w:rPr>
          <w:rFonts w:ascii="Arial" w:eastAsia="Arial" w:hAnsi="Arial" w:cs="Arial"/>
        </w:rPr>
      </w:pPr>
      <w:r w:rsidRPr="00A071CC">
        <w:rPr>
          <w:rFonts w:ascii="Arial" w:eastAsia="Arial" w:hAnsi="Arial" w:cs="Arial"/>
        </w:rPr>
        <w:t>The knowledge products generated from Bank-executed activities within this technical cooperation will be the property of the Bank and may be made available to the public under a creative commons license. However, at the request of the beneficiaries, in accordance with the provisions of AM-331, the intellectual property of said products may also be licensed through specific contractual commitments that shall be prepared with the advice of the Legal Department.</w:t>
      </w:r>
    </w:p>
    <w:p w14:paraId="3BBAB22F" w14:textId="753EE5AA" w:rsidR="00F72899" w:rsidRPr="000F744C" w:rsidRDefault="54260729" w:rsidP="54260729">
      <w:pPr>
        <w:pStyle w:val="Prrafodelista"/>
        <w:numPr>
          <w:ilvl w:val="0"/>
          <w:numId w:val="5"/>
        </w:numPr>
        <w:spacing w:before="120" w:after="120" w:line="240" w:lineRule="auto"/>
        <w:contextualSpacing w:val="0"/>
        <w:rPr>
          <w:rFonts w:ascii="Arial" w:eastAsia="Arial" w:hAnsi="Arial" w:cs="Arial"/>
          <w:b/>
          <w:bCs/>
        </w:rPr>
      </w:pPr>
      <w:r w:rsidRPr="54260729">
        <w:rPr>
          <w:rFonts w:ascii="Arial" w:eastAsia="Arial" w:hAnsi="Arial" w:cs="Arial"/>
          <w:b/>
          <w:bCs/>
        </w:rPr>
        <w:t>Exceptions to Bank policy</w:t>
      </w:r>
    </w:p>
    <w:p w14:paraId="3BBAB230" w14:textId="2019ED15" w:rsidR="00F72899" w:rsidRPr="000F744C" w:rsidRDefault="00C36D62" w:rsidP="54260729">
      <w:pPr>
        <w:pStyle w:val="Prrafodelista"/>
        <w:numPr>
          <w:ilvl w:val="1"/>
          <w:numId w:val="5"/>
        </w:numPr>
        <w:spacing w:before="120" w:after="120" w:line="240" w:lineRule="auto"/>
        <w:ind w:hanging="540"/>
        <w:contextualSpacing w:val="0"/>
        <w:jc w:val="both"/>
        <w:rPr>
          <w:rFonts w:ascii="Arial" w:eastAsia="Arial" w:hAnsi="Arial" w:cs="Arial"/>
        </w:rPr>
      </w:pPr>
      <w:r w:rsidRPr="00C36D62">
        <w:rPr>
          <w:rFonts w:ascii="Arial" w:eastAsia="Arial" w:hAnsi="Arial" w:cs="Arial"/>
        </w:rPr>
        <w:t>There are no exceptions to Bank policy.</w:t>
      </w:r>
    </w:p>
    <w:p w14:paraId="6E5BEB67" w14:textId="77777777" w:rsidR="00DD51A2" w:rsidRDefault="002B3097" w:rsidP="00DD51A2">
      <w:pPr>
        <w:pStyle w:val="Prrafodelista"/>
        <w:numPr>
          <w:ilvl w:val="0"/>
          <w:numId w:val="5"/>
        </w:numPr>
        <w:spacing w:before="120" w:after="120" w:line="240" w:lineRule="auto"/>
        <w:contextualSpacing w:val="0"/>
        <w:rPr>
          <w:rFonts w:ascii="Arial" w:eastAsia="Arial" w:hAnsi="Arial" w:cs="Arial"/>
          <w:b/>
          <w:bCs/>
        </w:rPr>
      </w:pPr>
      <w:r w:rsidRPr="002B3097">
        <w:rPr>
          <w:rFonts w:ascii="Arial" w:eastAsia="Arial" w:hAnsi="Arial" w:cs="Arial"/>
          <w:b/>
          <w:bCs/>
        </w:rPr>
        <w:t>Environmental and Social Aspects</w:t>
      </w:r>
    </w:p>
    <w:p w14:paraId="56B74F84" w14:textId="4B05114C" w:rsidR="00133678" w:rsidRPr="001E7456" w:rsidRDefault="001E7456" w:rsidP="00DD51A2">
      <w:pPr>
        <w:pStyle w:val="Prrafodelista"/>
        <w:numPr>
          <w:ilvl w:val="1"/>
          <w:numId w:val="5"/>
        </w:numPr>
        <w:spacing w:before="120" w:after="120" w:line="240" w:lineRule="auto"/>
        <w:ind w:hanging="540"/>
        <w:jc w:val="both"/>
        <w:rPr>
          <w:rFonts w:ascii="Arial" w:eastAsia="Arial" w:hAnsi="Arial" w:cs="Arial"/>
          <w:b/>
          <w:bCs/>
        </w:rPr>
      </w:pPr>
      <w:r w:rsidRPr="001E7456">
        <w:rPr>
          <w:rFonts w:ascii="Arial" w:eastAsia="Arial" w:hAnsi="Arial" w:cs="Arial"/>
        </w:rPr>
        <w:t>This TC will not finance feasibility or pre-feasibility studies of investment projects with associated environmental and social studies; therefore, it is excluded from the scope of the Bank's Environmental and Social Policy Framework (ESPF).</w:t>
      </w:r>
    </w:p>
    <w:p w14:paraId="0CBDF13B" w14:textId="77777777" w:rsidR="00DD51A2" w:rsidRPr="001E7456" w:rsidRDefault="00DD51A2" w:rsidP="00DD51A2">
      <w:pPr>
        <w:pStyle w:val="Prrafodelista"/>
        <w:spacing w:before="120" w:after="120" w:line="240" w:lineRule="auto"/>
        <w:ind w:left="360"/>
        <w:rPr>
          <w:rFonts w:ascii="Arial" w:eastAsia="Arial" w:hAnsi="Arial" w:cs="Arial"/>
          <w:b/>
          <w:bCs/>
        </w:rPr>
      </w:pPr>
    </w:p>
    <w:p w14:paraId="3BBAB233" w14:textId="08F43783" w:rsidR="00F72899" w:rsidRPr="000F744C" w:rsidRDefault="54260729" w:rsidP="006060EC">
      <w:pPr>
        <w:spacing w:before="120" w:after="120" w:line="240" w:lineRule="auto"/>
        <w:ind w:hanging="270"/>
        <w:jc w:val="both"/>
        <w:rPr>
          <w:rFonts w:ascii="Arial" w:eastAsia="Arial" w:hAnsi="Arial" w:cs="Arial"/>
          <w:b/>
          <w:bCs/>
        </w:rPr>
      </w:pPr>
      <w:r w:rsidRPr="54260729">
        <w:rPr>
          <w:rFonts w:ascii="Arial" w:eastAsia="Arial" w:hAnsi="Arial" w:cs="Arial"/>
          <w:b/>
          <w:bCs/>
        </w:rPr>
        <w:t>Required Annexes:</w:t>
      </w:r>
    </w:p>
    <w:sdt>
      <w:sdtPr>
        <w:alias w:val="ANNEXES"/>
        <w:tag w:val="ANNEXES"/>
        <w:id w:val="918745576"/>
        <w:lock w:val="sdtLocked"/>
        <w:placeholder>
          <w:docPart w:val="DefaultPlaceholder_1081868574"/>
        </w:placeholder>
      </w:sdtPr>
      <w:sdtEndPr/>
      <w:sdtContent>
        <w:p w14:paraId="35D2E010" w14:textId="77777777" w:rsidR="00E40AE6" w:rsidRPr="00E40AE6" w:rsidRDefault="00E40AE6" w:rsidP="00E40AE6">
          <w:pPr>
            <w:spacing w:after="0" w:line="240" w:lineRule="auto"/>
            <w:jc w:val="both"/>
            <w:rPr>
              <w:color w:val="FFFFFF" w:themeColor="background1"/>
            </w:rPr>
          </w:pPr>
        </w:p>
        <w:p w14:paraId="55CBFB40" w14:textId="046596D3" w:rsidR="006824BB" w:rsidRPr="00E82ADA" w:rsidRDefault="008E652F" w:rsidP="00C31ACD">
          <w:pPr>
            <w:pStyle w:val="Prrafodelista"/>
            <w:numPr>
              <w:ilvl w:val="0"/>
              <w:numId w:val="18"/>
            </w:numPr>
            <w:spacing w:after="120"/>
            <w:jc w:val="both"/>
          </w:pPr>
          <w:r>
            <w:rPr>
              <w:rFonts w:ascii="Arial" w:hAnsi="Arial" w:cs="Arial"/>
            </w:rPr>
            <w:t xml:space="preserve">Annex </w:t>
          </w:r>
          <w:r w:rsidRPr="45FE54BE">
            <w:rPr>
              <w:rFonts w:ascii="Arial" w:hAnsi="Arial" w:cs="Arial"/>
            </w:rPr>
            <w:t>I</w:t>
          </w:r>
          <w:r>
            <w:rPr>
              <w:rFonts w:ascii="Arial" w:hAnsi="Arial" w:cs="Arial"/>
            </w:rPr>
            <w:t xml:space="preserve">. </w:t>
          </w:r>
          <w:r w:rsidR="005601EF">
            <w:rPr>
              <w:rFonts w:ascii="Arial" w:hAnsi="Arial" w:cs="Arial"/>
            </w:rPr>
            <w:t xml:space="preserve">Letter of </w:t>
          </w:r>
          <w:r w:rsidR="00E329FC">
            <w:rPr>
              <w:rFonts w:ascii="Arial" w:hAnsi="Arial" w:cs="Arial"/>
            </w:rPr>
            <w:t>r</w:t>
          </w:r>
          <w:r w:rsidR="005601EF">
            <w:rPr>
              <w:rFonts w:ascii="Arial" w:hAnsi="Arial" w:cs="Arial"/>
            </w:rPr>
            <w:t>equest</w:t>
          </w:r>
          <w:r w:rsidR="00B71F2B">
            <w:rPr>
              <w:rFonts w:ascii="Arial" w:hAnsi="Arial" w:cs="Arial"/>
            </w:rPr>
            <w:t>.</w:t>
          </w:r>
        </w:p>
        <w:p w14:paraId="4DC7AF11" w14:textId="0A6E6693" w:rsidR="00E82ADA" w:rsidRPr="004D3346" w:rsidRDefault="008E652F" w:rsidP="00C31ACD">
          <w:pPr>
            <w:pStyle w:val="Prrafodelista"/>
            <w:numPr>
              <w:ilvl w:val="0"/>
              <w:numId w:val="18"/>
            </w:numPr>
            <w:spacing w:after="120"/>
            <w:jc w:val="both"/>
          </w:pPr>
          <w:r>
            <w:rPr>
              <w:rFonts w:ascii="Arial" w:hAnsi="Arial" w:cs="Arial"/>
            </w:rPr>
            <w:t xml:space="preserve">Annex </w:t>
          </w:r>
          <w:r w:rsidRPr="45FE54BE">
            <w:rPr>
              <w:rFonts w:ascii="Arial" w:hAnsi="Arial" w:cs="Arial"/>
            </w:rPr>
            <w:t>II</w:t>
          </w:r>
          <w:r>
            <w:rPr>
              <w:rFonts w:ascii="Arial" w:hAnsi="Arial" w:cs="Arial"/>
            </w:rPr>
            <w:t xml:space="preserve">. </w:t>
          </w:r>
          <w:r w:rsidR="00E82ADA">
            <w:rPr>
              <w:rFonts w:ascii="Arial" w:hAnsi="Arial" w:cs="Arial"/>
            </w:rPr>
            <w:t>Results Matrix</w:t>
          </w:r>
          <w:r w:rsidR="00A3678C">
            <w:rPr>
              <w:rFonts w:ascii="Arial" w:hAnsi="Arial" w:cs="Arial"/>
            </w:rPr>
            <w:t>.</w:t>
          </w:r>
        </w:p>
        <w:p w14:paraId="09B74263" w14:textId="06E92ED5" w:rsidR="006824BB" w:rsidRPr="004D3346" w:rsidRDefault="008E652F" w:rsidP="00C31ACD">
          <w:pPr>
            <w:pStyle w:val="Prrafodelista"/>
            <w:numPr>
              <w:ilvl w:val="0"/>
              <w:numId w:val="18"/>
            </w:numPr>
            <w:spacing w:before="120" w:after="120"/>
            <w:jc w:val="both"/>
          </w:pPr>
          <w:r>
            <w:rPr>
              <w:rFonts w:ascii="Arial" w:hAnsi="Arial" w:cs="Arial"/>
            </w:rPr>
            <w:t xml:space="preserve">Annex </w:t>
          </w:r>
          <w:r w:rsidRPr="45FE54BE">
            <w:rPr>
              <w:rFonts w:ascii="Arial" w:hAnsi="Arial" w:cs="Arial"/>
            </w:rPr>
            <w:t>I</w:t>
          </w:r>
          <w:r w:rsidR="49375F9D" w:rsidRPr="45FE54BE">
            <w:rPr>
              <w:rFonts w:ascii="Arial" w:hAnsi="Arial" w:cs="Arial"/>
            </w:rPr>
            <w:t>II</w:t>
          </w:r>
          <w:r>
            <w:rPr>
              <w:rFonts w:ascii="Arial" w:hAnsi="Arial" w:cs="Arial"/>
            </w:rPr>
            <w:t xml:space="preserve">. </w:t>
          </w:r>
          <w:r w:rsidR="006824BB" w:rsidRPr="00C31ACD">
            <w:rPr>
              <w:rFonts w:ascii="Arial" w:hAnsi="Arial" w:cs="Arial"/>
            </w:rPr>
            <w:t>Terms of Reference</w:t>
          </w:r>
          <w:r w:rsidR="0018385F">
            <w:rPr>
              <w:rFonts w:ascii="Arial" w:hAnsi="Arial" w:cs="Arial"/>
            </w:rPr>
            <w:t xml:space="preserve"> </w:t>
          </w:r>
          <w:r w:rsidR="0018385F" w:rsidRPr="0018385F">
            <w:rPr>
              <w:rFonts w:ascii="Arial" w:hAnsi="Arial" w:cs="Arial"/>
            </w:rPr>
            <w:t>for activities/components to be procured</w:t>
          </w:r>
          <w:r w:rsidR="006824BB" w:rsidRPr="00C31ACD">
            <w:rPr>
              <w:rFonts w:ascii="Arial" w:hAnsi="Arial" w:cs="Arial"/>
            </w:rPr>
            <w:t>.</w:t>
          </w:r>
        </w:p>
        <w:p w14:paraId="3BBAB236" w14:textId="61955B69" w:rsidR="00466C7E" w:rsidRPr="00F6417E" w:rsidRDefault="008E652F" w:rsidP="00C31ACD">
          <w:pPr>
            <w:pStyle w:val="Prrafodelista"/>
            <w:numPr>
              <w:ilvl w:val="0"/>
              <w:numId w:val="18"/>
            </w:numPr>
            <w:spacing w:before="120" w:after="120"/>
            <w:jc w:val="both"/>
          </w:pPr>
          <w:r>
            <w:rPr>
              <w:rFonts w:ascii="Arial" w:hAnsi="Arial" w:cs="Arial"/>
            </w:rPr>
            <w:t xml:space="preserve">Annex </w:t>
          </w:r>
          <w:r w:rsidR="1D115EBA" w:rsidRPr="45FE54BE">
            <w:rPr>
              <w:rFonts w:ascii="Arial" w:hAnsi="Arial" w:cs="Arial"/>
            </w:rPr>
            <w:t>I</w:t>
          </w:r>
          <w:r w:rsidRPr="45FE54BE">
            <w:rPr>
              <w:rFonts w:ascii="Arial" w:hAnsi="Arial" w:cs="Arial"/>
            </w:rPr>
            <w:t>V</w:t>
          </w:r>
          <w:r>
            <w:rPr>
              <w:rFonts w:ascii="Arial" w:hAnsi="Arial" w:cs="Arial"/>
            </w:rPr>
            <w:t xml:space="preserve">. </w:t>
          </w:r>
          <w:r w:rsidR="006824BB" w:rsidRPr="00C31ACD">
            <w:rPr>
              <w:rFonts w:ascii="Arial" w:hAnsi="Arial" w:cs="Arial"/>
            </w:rPr>
            <w:t>Procurement Plan</w:t>
          </w:r>
          <w:r w:rsidR="00B71F2B">
            <w:rPr>
              <w:rFonts w:ascii="Arial" w:hAnsi="Arial" w:cs="Arial"/>
            </w:rPr>
            <w:t>.</w:t>
          </w:r>
        </w:p>
        <w:p w14:paraId="3A185F61" w14:textId="16C2B836" w:rsidR="00F6417E" w:rsidRPr="00F6417E" w:rsidRDefault="00F6417E" w:rsidP="00C31ACD">
          <w:pPr>
            <w:pStyle w:val="Prrafodelista"/>
            <w:numPr>
              <w:ilvl w:val="0"/>
              <w:numId w:val="18"/>
            </w:numPr>
            <w:spacing w:before="120" w:after="120"/>
            <w:jc w:val="both"/>
            <w:rPr>
              <w:rFonts w:ascii="Arial" w:hAnsi="Arial" w:cs="Arial"/>
            </w:rPr>
          </w:pPr>
          <w:r>
            <w:rPr>
              <w:rFonts w:ascii="Arial" w:hAnsi="Arial" w:cs="Arial"/>
            </w:rPr>
            <w:t xml:space="preserve">Annex </w:t>
          </w:r>
          <w:r w:rsidRPr="45FE54BE">
            <w:rPr>
              <w:rFonts w:ascii="Arial" w:hAnsi="Arial" w:cs="Arial"/>
            </w:rPr>
            <w:t>V</w:t>
          </w:r>
          <w:r>
            <w:rPr>
              <w:rFonts w:ascii="Arial" w:hAnsi="Arial" w:cs="Arial"/>
            </w:rPr>
            <w:t xml:space="preserve">. Checklist </w:t>
          </w:r>
          <w:r w:rsidR="005601EF">
            <w:rPr>
              <w:rFonts w:ascii="Arial" w:hAnsi="Arial" w:cs="Arial"/>
            </w:rPr>
            <w:t>gender and diversity.</w:t>
          </w:r>
        </w:p>
        <w:p w14:paraId="5B50738D" w14:textId="6033B8BA" w:rsidR="00F6417E" w:rsidRPr="004D3346" w:rsidRDefault="00F6417E" w:rsidP="00C31ACD">
          <w:pPr>
            <w:pStyle w:val="Prrafodelista"/>
            <w:numPr>
              <w:ilvl w:val="0"/>
              <w:numId w:val="18"/>
            </w:numPr>
            <w:spacing w:before="120" w:after="120"/>
            <w:jc w:val="both"/>
            <w:rPr>
              <w:rFonts w:ascii="Arial" w:hAnsi="Arial" w:cs="Arial"/>
            </w:rPr>
          </w:pPr>
          <w:r>
            <w:rPr>
              <w:rFonts w:ascii="Arial" w:hAnsi="Arial" w:cs="Arial"/>
            </w:rPr>
            <w:t xml:space="preserve">Annex </w:t>
          </w:r>
          <w:r w:rsidRPr="45FE54BE">
            <w:rPr>
              <w:rFonts w:ascii="Arial" w:hAnsi="Arial" w:cs="Arial"/>
            </w:rPr>
            <w:t>VI</w:t>
          </w:r>
          <w:r>
            <w:rPr>
              <w:rFonts w:ascii="Arial" w:hAnsi="Arial" w:cs="Arial"/>
            </w:rPr>
            <w:t xml:space="preserve">. </w:t>
          </w:r>
          <w:r w:rsidR="005F488A">
            <w:rPr>
              <w:rFonts w:ascii="Arial" w:hAnsi="Arial" w:cs="Arial"/>
            </w:rPr>
            <w:t>Detailed</w:t>
          </w:r>
          <w:r w:rsidR="00FA6C11">
            <w:rPr>
              <w:rFonts w:ascii="Arial" w:hAnsi="Arial" w:cs="Arial"/>
            </w:rPr>
            <w:t xml:space="preserve"> budget</w:t>
          </w:r>
          <w:r w:rsidR="00B71F2B">
            <w:rPr>
              <w:rFonts w:ascii="Arial" w:hAnsi="Arial" w:cs="Arial"/>
            </w:rPr>
            <w:t>.</w:t>
          </w:r>
        </w:p>
      </w:sdtContent>
    </w:sdt>
    <w:p w14:paraId="3BBAB237" w14:textId="0A31F128" w:rsidR="00472C12" w:rsidRDefault="00472C12" w:rsidP="54260729">
      <w:pPr>
        <w:spacing w:before="120" w:after="120" w:line="240" w:lineRule="auto"/>
        <w:jc w:val="both"/>
        <w:rPr>
          <w:rFonts w:ascii="Arial" w:hAnsi="Arial" w:cs="Arial"/>
        </w:rPr>
      </w:pPr>
    </w:p>
    <w:sectPr w:rsidR="00472C12" w:rsidSect="00751CBE">
      <w:headerReference w:type="default" r:id="rId13"/>
      <w:footerReference w:type="default" r:id="rId14"/>
      <w:pgSz w:w="12240" w:h="15840"/>
      <w:pgMar w:top="1440" w:right="1800" w:bottom="90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E49F2" w14:textId="77777777" w:rsidR="00F91BC2" w:rsidRDefault="00F91BC2" w:rsidP="0095711B">
      <w:pPr>
        <w:spacing w:after="0" w:line="240" w:lineRule="auto"/>
      </w:pPr>
      <w:r>
        <w:separator/>
      </w:r>
    </w:p>
  </w:endnote>
  <w:endnote w:type="continuationSeparator" w:id="0">
    <w:p w14:paraId="7F1DDA2A" w14:textId="77777777" w:rsidR="00F91BC2" w:rsidRDefault="00F91BC2" w:rsidP="0095711B">
      <w:pPr>
        <w:spacing w:after="0" w:line="240" w:lineRule="auto"/>
      </w:pPr>
      <w:r>
        <w:continuationSeparator/>
      </w:r>
    </w:p>
  </w:endnote>
  <w:endnote w:type="continuationNotice" w:id="1">
    <w:p w14:paraId="4EE0EFF4" w14:textId="77777777" w:rsidR="00F91BC2" w:rsidRDefault="00F91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B23E" w14:textId="77777777" w:rsidR="009F3CA2" w:rsidRDefault="009F3CA2">
    <w:pPr>
      <w:pStyle w:val="Piedepgina"/>
      <w:jc w:val="center"/>
    </w:pPr>
  </w:p>
  <w:p w14:paraId="3BBAB23F" w14:textId="77777777" w:rsidR="009F3CA2" w:rsidRDefault="009F3C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C53CC" w14:textId="77777777" w:rsidR="00F91BC2" w:rsidRDefault="00F91BC2" w:rsidP="0095711B">
      <w:pPr>
        <w:spacing w:after="0" w:line="240" w:lineRule="auto"/>
      </w:pPr>
      <w:r>
        <w:separator/>
      </w:r>
    </w:p>
  </w:footnote>
  <w:footnote w:type="continuationSeparator" w:id="0">
    <w:p w14:paraId="40C6B4B5" w14:textId="77777777" w:rsidR="00F91BC2" w:rsidRDefault="00F91BC2" w:rsidP="0095711B">
      <w:pPr>
        <w:spacing w:after="0" w:line="240" w:lineRule="auto"/>
      </w:pPr>
      <w:r>
        <w:continuationSeparator/>
      </w:r>
    </w:p>
  </w:footnote>
  <w:footnote w:type="continuationNotice" w:id="1">
    <w:p w14:paraId="44DF26DD" w14:textId="77777777" w:rsidR="00F91BC2" w:rsidRDefault="00F91BC2">
      <w:pPr>
        <w:spacing w:after="0" w:line="240" w:lineRule="auto"/>
      </w:pPr>
    </w:p>
  </w:footnote>
  <w:footnote w:id="2">
    <w:p w14:paraId="20EBAA9C" w14:textId="2937D1B7" w:rsidR="00531F52" w:rsidRPr="00751CBE" w:rsidRDefault="00531F52">
      <w:pPr>
        <w:pStyle w:val="Textonotapie"/>
        <w:rPr>
          <w:rFonts w:ascii="Arial" w:hAnsi="Arial" w:cs="Arial"/>
          <w:sz w:val="18"/>
          <w:szCs w:val="18"/>
        </w:rPr>
      </w:pPr>
      <w:r w:rsidRPr="00751CBE">
        <w:rPr>
          <w:rStyle w:val="Refdenotaalpie"/>
          <w:rFonts w:ascii="Arial" w:hAnsi="Arial" w:cs="Arial"/>
          <w:sz w:val="18"/>
          <w:szCs w:val="18"/>
        </w:rPr>
        <w:footnoteRef/>
      </w:r>
      <w:r w:rsidRPr="00751CBE">
        <w:rPr>
          <w:rFonts w:ascii="Arial" w:hAnsi="Arial" w:cs="Arial"/>
          <w:sz w:val="18"/>
          <w:szCs w:val="18"/>
        </w:rPr>
        <w:t xml:space="preserve"> </w:t>
      </w:r>
      <w:r w:rsidR="00AA4E8C" w:rsidRPr="00807CE3">
        <w:rPr>
          <w:rFonts w:ascii="Arial" w:hAnsi="Arial" w:cs="Arial"/>
          <w:sz w:val="16"/>
          <w:szCs w:val="16"/>
        </w:rPr>
        <w:t>The donor is the State Secretariat for Economic Affairs SECO</w:t>
      </w:r>
      <w:r w:rsidR="00807CE3">
        <w:rPr>
          <w:rFonts w:ascii="Arial" w:hAnsi="Arial" w:cs="Arial"/>
          <w:sz w:val="16"/>
          <w:szCs w:val="16"/>
        </w:rPr>
        <w:t>.</w:t>
      </w:r>
    </w:p>
  </w:footnote>
  <w:footnote w:id="3">
    <w:p w14:paraId="65F4F542" w14:textId="4EE02AB1" w:rsidR="00012219" w:rsidRDefault="00012219" w:rsidP="00751CBE">
      <w:pPr>
        <w:pStyle w:val="Textonotapie"/>
        <w:jc w:val="both"/>
      </w:pPr>
      <w:r w:rsidRPr="00751CBE">
        <w:rPr>
          <w:rStyle w:val="Refdenotaalpie"/>
          <w:rFonts w:ascii="Arial" w:hAnsi="Arial" w:cs="Arial"/>
          <w:sz w:val="18"/>
          <w:szCs w:val="18"/>
        </w:rPr>
        <w:footnoteRef/>
      </w:r>
      <w:r w:rsidRPr="00751CBE">
        <w:rPr>
          <w:rFonts w:ascii="Arial" w:hAnsi="Arial" w:cs="Arial"/>
          <w:sz w:val="18"/>
          <w:szCs w:val="18"/>
        </w:rPr>
        <w:t xml:space="preserve"> </w:t>
      </w:r>
      <w:r w:rsidR="00751CBE" w:rsidRPr="00807CE3">
        <w:rPr>
          <w:rFonts w:ascii="Arial" w:hAnsi="Arial" w:cs="Arial"/>
          <w:sz w:val="16"/>
          <w:szCs w:val="16"/>
        </w:rPr>
        <w:t>The IDB will administer these funds through a Project-Specific Grant (PSG). State Secretariat for Economic Affairs SECO will contribute CHF $2.400.000, equivalent to US$2.640.000 based on the exchange rate of 1.1, defined at credit proposal stage. US$132.000 will be set aside from this contribution as a 5% administration fee. The remaining contribution of US$2.508.0000 corresponds to the project amount as indicated in the Basic Information table. The administration fee will be distributed to the Bank’s departments as applicable, in relation to the workload due to preparation, execution, and monitoring of the operation as well as administration of the PSG Agreement.</w:t>
      </w:r>
    </w:p>
  </w:footnote>
  <w:footnote w:id="4">
    <w:p w14:paraId="3D333C6A" w14:textId="4357D48D" w:rsidR="00463023" w:rsidRDefault="00463023">
      <w:pPr>
        <w:pStyle w:val="Textonotapie"/>
      </w:pPr>
      <w:r>
        <w:rPr>
          <w:rStyle w:val="Refdenotaalpie"/>
        </w:rPr>
        <w:footnoteRef/>
      </w:r>
      <w:r>
        <w:t xml:space="preserve"> </w:t>
      </w:r>
      <w:r w:rsidR="005C781B" w:rsidRPr="005C781B">
        <w:rPr>
          <w:rFonts w:ascii="Arial" w:hAnsi="Arial" w:cs="Arial"/>
          <w:sz w:val="16"/>
          <w:szCs w:val="16"/>
        </w:rPr>
        <w:t>CO-T1457 was approved in 2017 for USD15.5 mill. To the end of September USD15.056.508,80 have been executed and USD342.504,25 is committed, and USD100.986,95 is planned to commit in the next months.</w:t>
      </w:r>
    </w:p>
  </w:footnote>
  <w:footnote w:id="5">
    <w:p w14:paraId="300C0C92" w14:textId="10D8C847" w:rsidR="00A9508E" w:rsidRPr="009A61C9" w:rsidRDefault="00A9508E" w:rsidP="00807CE3">
      <w:pPr>
        <w:pStyle w:val="Textonotapie"/>
        <w:jc w:val="both"/>
        <w:rPr>
          <w:rFonts w:ascii="Arial" w:hAnsi="Arial" w:cs="Arial"/>
          <w:sz w:val="16"/>
          <w:szCs w:val="16"/>
        </w:rPr>
      </w:pPr>
      <w:r w:rsidRPr="009A61C9">
        <w:rPr>
          <w:rStyle w:val="Refdenotaalpie"/>
          <w:rFonts w:ascii="Arial" w:hAnsi="Arial" w:cs="Arial"/>
          <w:sz w:val="16"/>
          <w:szCs w:val="16"/>
        </w:rPr>
        <w:footnoteRef/>
      </w:r>
      <w:r w:rsidRPr="009A61C9">
        <w:rPr>
          <w:rFonts w:ascii="Arial" w:hAnsi="Arial" w:cs="Arial"/>
          <w:sz w:val="16"/>
          <w:szCs w:val="16"/>
        </w:rPr>
        <w:t xml:space="preserve"> </w:t>
      </w:r>
      <w:r w:rsidR="00BC0237" w:rsidRPr="009A61C9">
        <w:rPr>
          <w:rFonts w:ascii="Arial" w:hAnsi="Arial" w:cs="Arial"/>
          <w:sz w:val="16"/>
          <w:szCs w:val="16"/>
        </w:rPr>
        <w:t xml:space="preserve">(i) strategic planning, (ii) financial modelling, (iii) investment </w:t>
      </w:r>
      <w:proofErr w:type="spellStart"/>
      <w:r w:rsidR="00BC0237" w:rsidRPr="009A61C9">
        <w:rPr>
          <w:rFonts w:ascii="Arial" w:hAnsi="Arial" w:cs="Arial"/>
          <w:sz w:val="16"/>
          <w:szCs w:val="16"/>
        </w:rPr>
        <w:t>prioritisation</w:t>
      </w:r>
      <w:proofErr w:type="spellEnd"/>
      <w:r w:rsidR="00BC0237" w:rsidRPr="009A61C9">
        <w:rPr>
          <w:rFonts w:ascii="Arial" w:hAnsi="Arial" w:cs="Arial"/>
          <w:sz w:val="16"/>
          <w:szCs w:val="16"/>
        </w:rPr>
        <w:t xml:space="preserve">, (iv) financial and cost management, (v) non-revenue water management, (vi) asset management, (vii) energy efficiency, (viii) water security, (ix) processes </w:t>
      </w:r>
      <w:proofErr w:type="spellStart"/>
      <w:r w:rsidR="00BC0237" w:rsidRPr="009A61C9">
        <w:rPr>
          <w:rFonts w:ascii="Arial" w:hAnsi="Arial" w:cs="Arial"/>
          <w:sz w:val="16"/>
          <w:szCs w:val="16"/>
        </w:rPr>
        <w:t>optimisation</w:t>
      </w:r>
      <w:proofErr w:type="spellEnd"/>
      <w:r w:rsidR="00BC0237" w:rsidRPr="009A61C9">
        <w:rPr>
          <w:rFonts w:ascii="Arial" w:hAnsi="Arial" w:cs="Arial"/>
          <w:sz w:val="16"/>
          <w:szCs w:val="16"/>
        </w:rPr>
        <w:t>, (x) human capital management, (xi) corporate governance, and (xii) financing.</w:t>
      </w:r>
    </w:p>
  </w:footnote>
  <w:footnote w:id="6">
    <w:p w14:paraId="4FC43FCC" w14:textId="5A1E61FE" w:rsidR="00F55292" w:rsidRPr="009A61C9" w:rsidRDefault="00F55292" w:rsidP="00807CE3">
      <w:pPr>
        <w:pStyle w:val="Textonotapie"/>
        <w:jc w:val="both"/>
        <w:rPr>
          <w:rFonts w:ascii="Arial" w:hAnsi="Arial" w:cs="Arial"/>
          <w:sz w:val="16"/>
          <w:szCs w:val="16"/>
        </w:rPr>
      </w:pPr>
      <w:r w:rsidRPr="009A61C9">
        <w:rPr>
          <w:rStyle w:val="Refdenotaalpie"/>
          <w:rFonts w:ascii="Arial" w:hAnsi="Arial" w:cs="Arial"/>
          <w:sz w:val="16"/>
          <w:szCs w:val="16"/>
        </w:rPr>
        <w:footnoteRef/>
      </w:r>
      <w:r w:rsidRPr="009A61C9">
        <w:rPr>
          <w:rFonts w:ascii="Arial" w:hAnsi="Arial" w:cs="Arial"/>
          <w:sz w:val="16"/>
          <w:szCs w:val="16"/>
        </w:rPr>
        <w:t xml:space="preserve"> </w:t>
      </w:r>
      <w:r w:rsidR="00292D7D" w:rsidRPr="009A61C9">
        <w:rPr>
          <w:rFonts w:ascii="Arial" w:hAnsi="Arial" w:cs="Arial"/>
          <w:sz w:val="16"/>
          <w:szCs w:val="16"/>
        </w:rPr>
        <w:t>AquaRating offers a comprehensive and impartial evaluation of water utilities’ performance, based on indicators, best practices and reliable information. Developed by the IDB, in close collaboration with the International Water Association (IWA).</w:t>
      </w:r>
    </w:p>
  </w:footnote>
  <w:footnote w:id="7">
    <w:p w14:paraId="0F903494" w14:textId="6DF34AB2" w:rsidR="000800CF" w:rsidRDefault="000800CF" w:rsidP="00807CE3">
      <w:pPr>
        <w:pStyle w:val="Textonotapie"/>
        <w:jc w:val="both"/>
      </w:pPr>
      <w:r>
        <w:rPr>
          <w:rStyle w:val="Refdenotaalpie"/>
        </w:rPr>
        <w:footnoteRef/>
      </w:r>
      <w:r>
        <w:t xml:space="preserve"> </w:t>
      </w:r>
      <w:r w:rsidR="00807CE3" w:rsidRPr="00807CE3">
        <w:rPr>
          <w:rFonts w:ascii="Arial" w:hAnsi="Arial" w:cs="Arial"/>
          <w:sz w:val="16"/>
          <w:szCs w:val="16"/>
        </w:rPr>
        <w:t>The Joint Monitoring Program (JMP), is the entity responsible for measuring progress on access to water and sanitation for the Sustainable Development Goals (SDGs), has established metrics with clear definitions that countries should use when collecting data.</w:t>
      </w:r>
    </w:p>
  </w:footnote>
  <w:footnote w:id="8">
    <w:p w14:paraId="6513377E" w14:textId="03C3C2D4" w:rsidR="003D5620" w:rsidRDefault="003D5620">
      <w:pPr>
        <w:pStyle w:val="Textonotapie"/>
      </w:pPr>
      <w:r>
        <w:rPr>
          <w:rStyle w:val="Refdenotaalpie"/>
        </w:rPr>
        <w:footnoteRef/>
      </w:r>
      <w:r>
        <w:t xml:space="preserve"> </w:t>
      </w:r>
      <w:r w:rsidR="00524B9E" w:rsidRPr="00524B9E">
        <w:rPr>
          <w:rFonts w:ascii="Arial" w:hAnsi="Arial" w:cs="Arial"/>
          <w:sz w:val="16"/>
          <w:szCs w:val="16"/>
        </w:rPr>
        <w:t xml:space="preserve">Drinking water from an improved source that is accessible on premises, available when needed and free from </w:t>
      </w:r>
      <w:proofErr w:type="spellStart"/>
      <w:r w:rsidR="00524B9E" w:rsidRPr="00524B9E">
        <w:rPr>
          <w:rFonts w:ascii="Arial" w:hAnsi="Arial" w:cs="Arial"/>
          <w:sz w:val="16"/>
          <w:szCs w:val="16"/>
        </w:rPr>
        <w:t>faecal</w:t>
      </w:r>
      <w:proofErr w:type="spellEnd"/>
      <w:r w:rsidR="00524B9E" w:rsidRPr="00524B9E">
        <w:rPr>
          <w:rFonts w:ascii="Arial" w:hAnsi="Arial" w:cs="Arial"/>
          <w:sz w:val="16"/>
          <w:szCs w:val="16"/>
        </w:rPr>
        <w:t xml:space="preserve"> and priority chemical contamination</w:t>
      </w:r>
      <w:r w:rsidR="00524B9E">
        <w:rPr>
          <w:rFonts w:ascii="Arial" w:hAnsi="Arial" w:cs="Arial"/>
          <w:sz w:val="16"/>
          <w:szCs w:val="16"/>
        </w:rPr>
        <w:t>.</w:t>
      </w:r>
    </w:p>
  </w:footnote>
  <w:footnote w:id="9">
    <w:p w14:paraId="133D8D79" w14:textId="60C0E697" w:rsidR="00F20B47" w:rsidRDefault="00F20B47">
      <w:pPr>
        <w:pStyle w:val="Textonotapie"/>
      </w:pPr>
      <w:r>
        <w:rPr>
          <w:rStyle w:val="Refdenotaalpie"/>
        </w:rPr>
        <w:footnoteRef/>
      </w:r>
      <w:r>
        <w:t xml:space="preserve"> </w:t>
      </w:r>
      <w:r w:rsidR="0006084F" w:rsidRPr="0006084F">
        <w:rPr>
          <w:rFonts w:ascii="Arial" w:hAnsi="Arial" w:cs="Arial"/>
          <w:sz w:val="16"/>
          <w:szCs w:val="16"/>
        </w:rPr>
        <w:t>Use of improved facilities that are not shared with other households and where excreta are safely disposed of in situ or removed and treated off-site.</w:t>
      </w:r>
    </w:p>
  </w:footnote>
  <w:footnote w:id="10">
    <w:p w14:paraId="70A0D273" w14:textId="2D16A4AE" w:rsidR="00392E58" w:rsidRDefault="00392E58" w:rsidP="00292D7D">
      <w:pPr>
        <w:pStyle w:val="Textonotapie"/>
        <w:jc w:val="both"/>
      </w:pPr>
      <w:r w:rsidRPr="009A61C9">
        <w:rPr>
          <w:rStyle w:val="Refdenotaalpie"/>
          <w:rFonts w:ascii="Arial" w:hAnsi="Arial" w:cs="Arial"/>
          <w:sz w:val="16"/>
          <w:szCs w:val="16"/>
        </w:rPr>
        <w:footnoteRef/>
      </w:r>
      <w:r w:rsidRPr="009A61C9">
        <w:rPr>
          <w:rFonts w:ascii="Arial" w:hAnsi="Arial" w:cs="Arial"/>
          <w:sz w:val="16"/>
          <w:szCs w:val="16"/>
        </w:rPr>
        <w:t xml:space="preserve"> </w:t>
      </w:r>
      <w:r w:rsidR="0012585B" w:rsidRPr="009A61C9">
        <w:rPr>
          <w:rFonts w:ascii="Arial" w:hAnsi="Arial" w:cs="Arial"/>
          <w:sz w:val="16"/>
          <w:szCs w:val="16"/>
        </w:rPr>
        <w:t>The water sector's perceived risk makes it challenging to access the financial market, despite the strong needs for infrastructure finance.</w:t>
      </w:r>
    </w:p>
  </w:footnote>
  <w:footnote w:id="11">
    <w:p w14:paraId="0B24DFD1" w14:textId="48607BAA" w:rsidR="002626AE" w:rsidRDefault="002626AE" w:rsidP="00A662E4">
      <w:pPr>
        <w:pStyle w:val="Textonotapie"/>
        <w:jc w:val="both"/>
      </w:pPr>
      <w:r>
        <w:rPr>
          <w:rStyle w:val="Refdenotaalpie"/>
        </w:rPr>
        <w:footnoteRef/>
      </w:r>
      <w:r>
        <w:t xml:space="preserve"> </w:t>
      </w:r>
      <w:r w:rsidR="009A61C9" w:rsidRPr="00E44492">
        <w:rPr>
          <w:rFonts w:ascii="Arial" w:eastAsia="Arial" w:hAnsi="Arial" w:cs="Arial"/>
          <w:color w:val="000000"/>
          <w:sz w:val="16"/>
          <w:szCs w:val="16"/>
        </w:rPr>
        <w:t xml:space="preserve">The Sectoral Action is a voluntary initiative with self-regulatory characteristics that was signed in 2019 by 12 of the most representative utilities in Colombia (providing drinking water to </w:t>
      </w:r>
      <w:r w:rsidR="009A61C9">
        <w:rPr>
          <w:rFonts w:ascii="Arial" w:eastAsia="Arial" w:hAnsi="Arial" w:cs="Arial"/>
          <w:color w:val="000000"/>
          <w:sz w:val="16"/>
          <w:szCs w:val="16"/>
        </w:rPr>
        <w:t>22</w:t>
      </w:r>
      <w:r w:rsidR="009A61C9" w:rsidRPr="00E44492">
        <w:rPr>
          <w:rFonts w:ascii="Arial" w:eastAsia="Arial" w:hAnsi="Arial" w:cs="Arial"/>
          <w:color w:val="000000"/>
          <w:sz w:val="16"/>
          <w:szCs w:val="16"/>
        </w:rPr>
        <w:t xml:space="preserve"> million Colombians who wanted to lead the corporate development agenda. </w:t>
      </w:r>
      <w:r w:rsidR="009A61C9" w:rsidRPr="00AE5C1B">
        <w:rPr>
          <w:rFonts w:ascii="Arial" w:eastAsia="Arial" w:hAnsi="Arial" w:cs="Arial"/>
          <w:color w:val="000000"/>
          <w:sz w:val="16"/>
          <w:szCs w:val="16"/>
        </w:rPr>
        <w:t>They started by signing a voluntary and self-regulatory agreement, in which eight commitments were established. The Sectoral Action promotes dialogue, experiences and good practices sharing, benchmarking and support among themselves to improve performance</w:t>
      </w:r>
      <w:r w:rsidR="009A61C9">
        <w:rPr>
          <w:rFonts w:ascii="Arial" w:eastAsia="Arial" w:hAnsi="Arial" w:cs="Arial"/>
          <w:color w:val="000000"/>
          <w:sz w:val="16"/>
          <w:szCs w:val="16"/>
        </w:rPr>
        <w:t xml:space="preserve">. For more information: </w:t>
      </w:r>
      <w:hyperlink r:id="rId1">
        <w:r w:rsidR="009A61C9" w:rsidRPr="00E44492">
          <w:rPr>
            <w:rFonts w:ascii="Arial" w:hAnsi="Arial" w:cs="Arial"/>
            <w:color w:val="1155CC"/>
            <w:sz w:val="16"/>
            <w:szCs w:val="16"/>
            <w:u w:val="single"/>
          </w:rPr>
          <w:t>www.accionsectorialdelagua.com</w:t>
        </w:r>
      </w:hyperlink>
    </w:p>
  </w:footnote>
  <w:footnote w:id="12">
    <w:p w14:paraId="75F94107" w14:textId="73BF9B59" w:rsidR="00FB1FF5" w:rsidRDefault="00FB1FF5" w:rsidP="00A662E4">
      <w:pPr>
        <w:pStyle w:val="Textonotapie"/>
        <w:jc w:val="both"/>
      </w:pPr>
      <w:r>
        <w:rPr>
          <w:rStyle w:val="Refdenotaalpie"/>
        </w:rPr>
        <w:footnoteRef/>
      </w:r>
      <w:r>
        <w:t xml:space="preserve"> </w:t>
      </w:r>
      <w:r w:rsidR="00A662E4" w:rsidRPr="00E44492">
        <w:rPr>
          <w:rFonts w:ascii="Arial" w:eastAsia="Arial" w:hAnsi="Arial" w:cs="Arial"/>
          <w:color w:val="000000"/>
          <w:sz w:val="16"/>
          <w:szCs w:val="16"/>
        </w:rPr>
        <w:t xml:space="preserve">The WOP-Colombia platform was created in </w:t>
      </w:r>
      <w:proofErr w:type="gramStart"/>
      <w:r w:rsidR="00A662E4" w:rsidRPr="00E44492">
        <w:rPr>
          <w:rFonts w:ascii="Arial" w:eastAsia="Arial" w:hAnsi="Arial" w:cs="Arial"/>
          <w:color w:val="000000"/>
          <w:sz w:val="16"/>
          <w:szCs w:val="16"/>
        </w:rPr>
        <w:t>2020</w:t>
      </w:r>
      <w:proofErr w:type="gramEnd"/>
      <w:r w:rsidR="00A662E4" w:rsidRPr="00E44492">
        <w:rPr>
          <w:rFonts w:ascii="Arial" w:eastAsia="Arial" w:hAnsi="Arial" w:cs="Arial"/>
          <w:color w:val="000000"/>
          <w:sz w:val="16"/>
          <w:szCs w:val="16"/>
        </w:rPr>
        <w:t xml:space="preserve"> and it’s dedicated to strengthening water and sanitation utilities through the promotion of peer-to-peer knowledge exchange </w:t>
      </w:r>
      <w:r w:rsidR="00A662E4" w:rsidRPr="00E44492">
        <w:rPr>
          <w:rFonts w:ascii="Arial" w:hAnsi="Arial" w:cs="Arial"/>
          <w:sz w:val="16"/>
          <w:szCs w:val="16"/>
          <w:lang w:val="en-GB"/>
        </w:rPr>
        <w:t>between an experienced water utility (senior partner) and a less experienced one (junior partner)</w:t>
      </w:r>
      <w:r w:rsidR="00A662E4" w:rsidRPr="00E44492">
        <w:rPr>
          <w:rFonts w:ascii="Arial" w:eastAsia="Arial" w:hAnsi="Arial" w:cs="Arial"/>
          <w:color w:val="000000"/>
          <w:sz w:val="16"/>
          <w:szCs w:val="16"/>
        </w:rPr>
        <w:t xml:space="preserve">. The </w:t>
      </w:r>
      <w:r w:rsidR="00A662E4" w:rsidRPr="00E44492">
        <w:rPr>
          <w:rFonts w:ascii="Arial" w:hAnsi="Arial" w:cs="Arial"/>
          <w:sz w:val="16"/>
          <w:szCs w:val="16"/>
          <w:lang w:val="en-GB"/>
        </w:rPr>
        <w:t>platform fosters knowledge transfer, exchange on lessons learned and experiences.</w:t>
      </w:r>
      <w:r w:rsidR="00A662E4" w:rsidRPr="00E44492">
        <w:rPr>
          <w:rFonts w:ascii="Arial" w:eastAsia="Arial" w:hAnsi="Arial" w:cs="Arial"/>
          <w:color w:val="000000"/>
          <w:sz w:val="16"/>
          <w:szCs w:val="16"/>
        </w:rPr>
        <w:t xml:space="preserve"> It’s derived from the Global Water Operator’s Partnership Alliance (by UN-Habitat), and the Water Operators Partnerships platform for Latin America and the Caribbean (</w:t>
      </w:r>
      <w:hyperlink r:id="rId2">
        <w:r w:rsidR="00A662E4" w:rsidRPr="00E44492">
          <w:rPr>
            <w:rFonts w:ascii="Arial" w:hAnsi="Arial" w:cs="Arial"/>
            <w:color w:val="1155CC"/>
            <w:sz w:val="16"/>
            <w:szCs w:val="16"/>
            <w:lang w:val="en-GB"/>
          </w:rPr>
          <w:t>WOP–LAC</w:t>
        </w:r>
      </w:hyperlink>
      <w:r w:rsidR="00A662E4" w:rsidRPr="00E44492">
        <w:rPr>
          <w:rFonts w:ascii="Arial" w:hAnsi="Arial" w:cs="Arial"/>
          <w:color w:val="5B5172"/>
          <w:sz w:val="16"/>
          <w:szCs w:val="16"/>
          <w:lang w:val="en-GB"/>
        </w:rPr>
        <w:t>)</w:t>
      </w:r>
      <w:r w:rsidR="00A662E4" w:rsidRPr="00E44492">
        <w:rPr>
          <w:rFonts w:ascii="Arial" w:hAnsi="Arial" w:cs="Arial"/>
          <w:sz w:val="16"/>
          <w:szCs w:val="16"/>
          <w:lang w:val="en-GB"/>
        </w:rPr>
        <w:t>.</w:t>
      </w:r>
      <w:r w:rsidR="00A662E4">
        <w:rPr>
          <w:rFonts w:ascii="Arial" w:hAnsi="Arial" w:cs="Arial"/>
          <w:sz w:val="16"/>
          <w:szCs w:val="16"/>
          <w:lang w:val="en-GB"/>
        </w:rPr>
        <w:t xml:space="preserve"> For more information:</w:t>
      </w:r>
      <w:r w:rsidR="00A662E4" w:rsidRPr="00E44492">
        <w:rPr>
          <w:rFonts w:ascii="Arial" w:eastAsia="Arial" w:hAnsi="Arial" w:cs="Arial"/>
          <w:color w:val="000000"/>
          <w:sz w:val="16"/>
          <w:szCs w:val="16"/>
        </w:rPr>
        <w:t xml:space="preserve"> </w:t>
      </w:r>
      <w:hyperlink r:id="rId3">
        <w:r w:rsidR="00A662E4" w:rsidRPr="00E44492">
          <w:rPr>
            <w:rFonts w:ascii="Arial" w:hAnsi="Arial" w:cs="Arial"/>
            <w:color w:val="1155CC"/>
            <w:sz w:val="16"/>
            <w:szCs w:val="16"/>
            <w:u w:val="single"/>
          </w:rPr>
          <w:t>WOP-Colombia - ACODAL</w:t>
        </w:r>
      </w:hyperlink>
      <w:r w:rsidR="00A662E4">
        <w:rPr>
          <w:rFonts w:ascii="Arial" w:hAnsi="Arial" w:cs="Arial"/>
          <w:color w:val="1155CC"/>
          <w:sz w:val="16"/>
          <w:szCs w:val="16"/>
          <w:u w:val="single"/>
        </w:rPr>
        <w:t>.</w:t>
      </w:r>
    </w:p>
  </w:footnote>
  <w:footnote w:id="13">
    <w:p w14:paraId="5636BEED" w14:textId="5DE9F08B" w:rsidR="00A20C33" w:rsidRDefault="00A20C33">
      <w:pPr>
        <w:pStyle w:val="Textonotapie"/>
      </w:pPr>
      <w:r>
        <w:rPr>
          <w:rStyle w:val="Refdenotaalpie"/>
        </w:rPr>
        <w:footnoteRef/>
      </w:r>
      <w:r>
        <w:t xml:space="preserve"> </w:t>
      </w:r>
      <w:r w:rsidR="000564F1" w:rsidRPr="00E44492">
        <w:rPr>
          <w:rFonts w:ascii="Arial" w:eastAsia="Arial" w:hAnsi="Arial" w:cs="Arial"/>
          <w:color w:val="000000"/>
          <w:sz w:val="16"/>
          <w:szCs w:val="16"/>
        </w:rPr>
        <w:t xml:space="preserve">ANDESCO is a non-profit </w:t>
      </w:r>
      <w:proofErr w:type="spellStart"/>
      <w:r w:rsidR="000564F1" w:rsidRPr="00E44492">
        <w:rPr>
          <w:rFonts w:ascii="Arial" w:eastAsia="Arial" w:hAnsi="Arial" w:cs="Arial"/>
          <w:color w:val="000000"/>
          <w:sz w:val="16"/>
          <w:szCs w:val="16"/>
        </w:rPr>
        <w:t>organi</w:t>
      </w:r>
      <w:r w:rsidR="000564F1">
        <w:rPr>
          <w:rFonts w:ascii="Arial" w:eastAsia="Arial" w:hAnsi="Arial" w:cs="Arial"/>
          <w:color w:val="000000"/>
          <w:sz w:val="16"/>
          <w:szCs w:val="16"/>
        </w:rPr>
        <w:t>s</w:t>
      </w:r>
      <w:r w:rsidR="000564F1" w:rsidRPr="00E44492">
        <w:rPr>
          <w:rFonts w:ascii="Arial" w:eastAsia="Arial" w:hAnsi="Arial" w:cs="Arial"/>
          <w:color w:val="000000"/>
          <w:sz w:val="16"/>
          <w:szCs w:val="16"/>
        </w:rPr>
        <w:t>ation</w:t>
      </w:r>
      <w:proofErr w:type="spellEnd"/>
      <w:r w:rsidR="000564F1" w:rsidRPr="00E44492">
        <w:rPr>
          <w:rFonts w:ascii="Arial" w:eastAsia="Arial" w:hAnsi="Arial" w:cs="Arial"/>
          <w:color w:val="000000"/>
          <w:sz w:val="16"/>
          <w:szCs w:val="16"/>
        </w:rPr>
        <w:t xml:space="preserve"> created in 1995, that gathers 160 of the most significant public service utilities in Colombia (water and sanitation, solid waste, energy, gas, information technology and communication).</w:t>
      </w:r>
    </w:p>
  </w:footnote>
  <w:footnote w:id="14">
    <w:p w14:paraId="2C42E62D" w14:textId="7A3439A9" w:rsidR="000564F1" w:rsidRDefault="000564F1" w:rsidP="00E97771">
      <w:pPr>
        <w:pStyle w:val="Textonotapie"/>
        <w:jc w:val="both"/>
      </w:pPr>
      <w:r>
        <w:rPr>
          <w:rStyle w:val="Refdenotaalpie"/>
        </w:rPr>
        <w:footnoteRef/>
      </w:r>
      <w:r>
        <w:t xml:space="preserve"> </w:t>
      </w:r>
      <w:r w:rsidR="00E97771" w:rsidRPr="00E44492">
        <w:rPr>
          <w:rFonts w:ascii="Arial" w:eastAsia="Arial" w:hAnsi="Arial" w:cs="Arial"/>
          <w:color w:val="000000"/>
          <w:sz w:val="16"/>
          <w:szCs w:val="16"/>
        </w:rPr>
        <w:t xml:space="preserve">ACODAL is a non-profit </w:t>
      </w:r>
      <w:proofErr w:type="spellStart"/>
      <w:r w:rsidR="00E97771" w:rsidRPr="00E44492">
        <w:rPr>
          <w:rFonts w:ascii="Arial" w:eastAsia="Arial" w:hAnsi="Arial" w:cs="Arial"/>
          <w:color w:val="000000"/>
          <w:sz w:val="16"/>
          <w:szCs w:val="16"/>
        </w:rPr>
        <w:t>organi</w:t>
      </w:r>
      <w:r w:rsidR="00E97771">
        <w:rPr>
          <w:rFonts w:ascii="Arial" w:eastAsia="Arial" w:hAnsi="Arial" w:cs="Arial"/>
          <w:color w:val="000000"/>
          <w:sz w:val="16"/>
          <w:szCs w:val="16"/>
        </w:rPr>
        <w:t>s</w:t>
      </w:r>
      <w:r w:rsidR="00E97771" w:rsidRPr="00E44492">
        <w:rPr>
          <w:rFonts w:ascii="Arial" w:eastAsia="Arial" w:hAnsi="Arial" w:cs="Arial"/>
          <w:color w:val="000000"/>
          <w:sz w:val="16"/>
          <w:szCs w:val="16"/>
        </w:rPr>
        <w:t>ation</w:t>
      </w:r>
      <w:proofErr w:type="spellEnd"/>
      <w:r w:rsidR="00E97771" w:rsidRPr="00E44492">
        <w:rPr>
          <w:rFonts w:ascii="Arial" w:eastAsia="Arial" w:hAnsi="Arial" w:cs="Arial"/>
          <w:color w:val="000000"/>
          <w:sz w:val="16"/>
          <w:szCs w:val="16"/>
        </w:rPr>
        <w:t xml:space="preserve"> created in 1956 that has more than 1,500 members including consulting and commercial firms, water and sanitation utilities, universities, professionals and students.</w:t>
      </w:r>
    </w:p>
  </w:footnote>
  <w:footnote w:id="15">
    <w:p w14:paraId="5DCEAC07" w14:textId="29021C8A" w:rsidR="00B812BA" w:rsidRDefault="00B812BA" w:rsidP="004262A1">
      <w:pPr>
        <w:pStyle w:val="Textonotapie"/>
        <w:jc w:val="both"/>
      </w:pPr>
      <w:r>
        <w:rPr>
          <w:rStyle w:val="Refdenotaalpie"/>
        </w:rPr>
        <w:footnoteRef/>
      </w:r>
      <w:r>
        <w:t xml:space="preserve"> </w:t>
      </w:r>
      <w:r w:rsidR="00951362" w:rsidRPr="008D335D">
        <w:rPr>
          <w:rFonts w:ascii="Arial" w:eastAsia="Arial" w:hAnsi="Arial" w:cs="Arial"/>
          <w:color w:val="000000"/>
          <w:sz w:val="16"/>
          <w:szCs w:val="16"/>
        </w:rPr>
        <w:t xml:space="preserve">Extended to </w:t>
      </w:r>
      <w:r w:rsidR="00951362">
        <w:rPr>
          <w:rFonts w:ascii="Arial" w:eastAsia="Arial" w:hAnsi="Arial" w:cs="Arial"/>
          <w:color w:val="000000"/>
          <w:sz w:val="16"/>
          <w:szCs w:val="16"/>
        </w:rPr>
        <w:t>October</w:t>
      </w:r>
      <w:r w:rsidR="00951362" w:rsidRPr="008D335D">
        <w:rPr>
          <w:rFonts w:ascii="Arial" w:eastAsia="Arial" w:hAnsi="Arial" w:cs="Arial"/>
          <w:color w:val="000000"/>
          <w:sz w:val="16"/>
          <w:szCs w:val="16"/>
        </w:rPr>
        <w:t xml:space="preserve"> 2024</w:t>
      </w:r>
      <w:r w:rsidR="00951362">
        <w:rPr>
          <w:rFonts w:ascii="Arial" w:eastAsia="Arial" w:hAnsi="Arial" w:cs="Arial"/>
          <w:color w:val="000000"/>
          <w:sz w:val="16"/>
          <w:szCs w:val="16"/>
        </w:rPr>
        <w:t>.</w:t>
      </w:r>
      <w:r w:rsidR="004262A1">
        <w:rPr>
          <w:rFonts w:ascii="Arial" w:eastAsia="Arial" w:hAnsi="Arial" w:cs="Arial"/>
          <w:color w:val="000000"/>
          <w:sz w:val="16"/>
          <w:szCs w:val="16"/>
        </w:rPr>
        <w:t xml:space="preserve"> </w:t>
      </w:r>
      <w:r w:rsidR="004262A1" w:rsidRPr="004262A1">
        <w:rPr>
          <w:rFonts w:ascii="Arial" w:eastAsia="Arial" w:hAnsi="Arial" w:cs="Arial"/>
          <w:color w:val="000000"/>
          <w:sz w:val="16"/>
          <w:szCs w:val="16"/>
        </w:rPr>
        <w:t>The IDB Group's Country Strategy with Colombia for 2024-2027 is currently in the preparation phase and is expected to be approved by the Bank's Board of Executive Directors in October. It’s anticipated that TC will be aligned with the strategic objective of increasing access to services at the urban level, with an emphasis on water and sanitation.</w:t>
      </w:r>
    </w:p>
  </w:footnote>
  <w:footnote w:id="16">
    <w:p w14:paraId="51854987" w14:textId="550093C4" w:rsidR="00951362" w:rsidRDefault="00951362">
      <w:pPr>
        <w:pStyle w:val="Textonotapie"/>
      </w:pPr>
      <w:r>
        <w:rPr>
          <w:rStyle w:val="Refdenotaalpie"/>
        </w:rPr>
        <w:footnoteRef/>
      </w:r>
      <w:r>
        <w:t xml:space="preserve"> </w:t>
      </w:r>
      <w:r w:rsidR="00403DF6" w:rsidRPr="00AB5ED8">
        <w:rPr>
          <w:rFonts w:ascii="Arial" w:hAnsi="Arial" w:cs="Arial"/>
          <w:sz w:val="16"/>
          <w:szCs w:val="16"/>
        </w:rPr>
        <w:t>Directorate of Economic Cooperation and Development (WE) in SECO</w:t>
      </w:r>
    </w:p>
  </w:footnote>
  <w:footnote w:id="17">
    <w:p w14:paraId="734A4527" w14:textId="32C804AF" w:rsidR="00A24E0E" w:rsidRDefault="00A24E0E" w:rsidP="00A24E0E">
      <w:pPr>
        <w:pStyle w:val="Textonotapie"/>
        <w:jc w:val="both"/>
      </w:pPr>
      <w:r>
        <w:rPr>
          <w:rStyle w:val="Refdenotaalpie"/>
        </w:rPr>
        <w:footnoteRef/>
      </w:r>
      <w:r>
        <w:t xml:space="preserve"> </w:t>
      </w:r>
      <w:r w:rsidRPr="00E44492">
        <w:rPr>
          <w:rFonts w:ascii="Arial" w:hAnsi="Arial" w:cs="Arial"/>
          <w:sz w:val="16"/>
          <w:szCs w:val="16"/>
          <w:lang w:val="en-GB"/>
        </w:rPr>
        <w:t xml:space="preserve">i) </w:t>
      </w:r>
      <w:r>
        <w:rPr>
          <w:rFonts w:ascii="Arial" w:hAnsi="Arial" w:cs="Arial"/>
          <w:sz w:val="16"/>
          <w:szCs w:val="16"/>
          <w:lang w:val="en-GB"/>
        </w:rPr>
        <w:t>G</w:t>
      </w:r>
      <w:r w:rsidRPr="00E44492">
        <w:rPr>
          <w:rFonts w:ascii="Arial" w:hAnsi="Arial" w:cs="Arial"/>
          <w:sz w:val="16"/>
          <w:szCs w:val="16"/>
          <w:lang w:val="en-GB"/>
        </w:rPr>
        <w:t xml:space="preserve">overnance in water and sanitation utilities, ii) </w:t>
      </w:r>
      <w:r>
        <w:rPr>
          <w:rFonts w:ascii="Arial" w:hAnsi="Arial" w:cs="Arial"/>
          <w:sz w:val="16"/>
          <w:szCs w:val="16"/>
          <w:lang w:val="en-GB"/>
        </w:rPr>
        <w:t>E</w:t>
      </w:r>
      <w:r w:rsidRPr="00E44492">
        <w:rPr>
          <w:rFonts w:ascii="Arial" w:hAnsi="Arial" w:cs="Arial"/>
          <w:sz w:val="16"/>
          <w:szCs w:val="16"/>
          <w:lang w:val="en-GB"/>
        </w:rPr>
        <w:t>fficient boards of directors</w:t>
      </w:r>
      <w:r>
        <w:rPr>
          <w:rFonts w:ascii="Arial" w:hAnsi="Arial" w:cs="Arial"/>
          <w:sz w:val="16"/>
          <w:szCs w:val="16"/>
          <w:lang w:val="en-GB"/>
        </w:rPr>
        <w:t xml:space="preserve"> for water utilities</w:t>
      </w:r>
      <w:r w:rsidRPr="00E44492">
        <w:rPr>
          <w:rFonts w:ascii="Arial" w:hAnsi="Arial" w:cs="Arial"/>
          <w:sz w:val="16"/>
          <w:szCs w:val="16"/>
          <w:lang w:val="en-GB"/>
        </w:rPr>
        <w:t xml:space="preserve">, iii) </w:t>
      </w:r>
      <w:r>
        <w:rPr>
          <w:rFonts w:ascii="Arial" w:hAnsi="Arial" w:cs="Arial"/>
          <w:sz w:val="16"/>
          <w:szCs w:val="16"/>
          <w:lang w:val="en-GB"/>
        </w:rPr>
        <w:t>I</w:t>
      </w:r>
      <w:r w:rsidRPr="00E44492">
        <w:rPr>
          <w:rFonts w:ascii="Arial" w:hAnsi="Arial" w:cs="Arial"/>
          <w:sz w:val="16"/>
          <w:szCs w:val="16"/>
          <w:lang w:val="en-GB"/>
        </w:rPr>
        <w:t xml:space="preserve">nvestment prioritisation </w:t>
      </w:r>
      <w:r>
        <w:rPr>
          <w:rFonts w:ascii="Arial" w:hAnsi="Arial" w:cs="Arial"/>
          <w:sz w:val="16"/>
          <w:szCs w:val="16"/>
          <w:lang w:val="en-GB"/>
        </w:rPr>
        <w:t>for water and sanitation utilities</w:t>
      </w:r>
      <w:r w:rsidRPr="00E44492">
        <w:rPr>
          <w:rFonts w:ascii="Arial" w:hAnsi="Arial" w:cs="Arial"/>
          <w:sz w:val="16"/>
          <w:szCs w:val="16"/>
          <w:lang w:val="en-GB"/>
        </w:rPr>
        <w:t xml:space="preserve">, iv) </w:t>
      </w:r>
      <w:r>
        <w:rPr>
          <w:rFonts w:ascii="Arial" w:hAnsi="Arial" w:cs="Arial"/>
          <w:sz w:val="16"/>
          <w:szCs w:val="16"/>
          <w:lang w:val="en-GB"/>
        </w:rPr>
        <w:t>S</w:t>
      </w:r>
      <w:r w:rsidRPr="00E44492">
        <w:rPr>
          <w:rFonts w:ascii="Arial" w:hAnsi="Arial" w:cs="Arial"/>
          <w:sz w:val="16"/>
          <w:szCs w:val="16"/>
          <w:lang w:val="en-GB"/>
        </w:rPr>
        <w:t>tructuring and presenting water and sanitation projects.</w:t>
      </w:r>
    </w:p>
  </w:footnote>
  <w:footnote w:id="18">
    <w:p w14:paraId="57AE9AF1" w14:textId="6A4D66DE" w:rsidR="00654AEB" w:rsidRDefault="00654AEB" w:rsidP="004A409A">
      <w:pPr>
        <w:pStyle w:val="Textonotapie"/>
        <w:jc w:val="both"/>
      </w:pPr>
      <w:r>
        <w:rPr>
          <w:rStyle w:val="Refdenotaalpie"/>
        </w:rPr>
        <w:footnoteRef/>
      </w:r>
      <w:r>
        <w:t xml:space="preserve"> </w:t>
      </w:r>
      <w:r w:rsidR="004A409A" w:rsidRPr="00DA75E5">
        <w:rPr>
          <w:rFonts w:ascii="Arial" w:hAnsi="Arial" w:cs="Arial"/>
          <w:sz w:val="16"/>
          <w:szCs w:val="16"/>
        </w:rPr>
        <w:t xml:space="preserve">Local counterpart in kind </w:t>
      </w:r>
      <w:r w:rsidR="004A409A">
        <w:rPr>
          <w:rFonts w:ascii="Arial" w:hAnsi="Arial" w:cs="Arial"/>
          <w:sz w:val="16"/>
          <w:szCs w:val="16"/>
        </w:rPr>
        <w:t>(</w:t>
      </w:r>
      <w:r w:rsidR="004A409A" w:rsidRPr="00941504">
        <w:rPr>
          <w:rFonts w:ascii="Arial" w:hAnsi="Arial" w:cs="Arial"/>
          <w:sz w:val="16"/>
          <w:szCs w:val="16"/>
          <w:lang w:val="en"/>
        </w:rPr>
        <w:t>US$50.000 from ANDESCO and US$50.000 from ACODAL</w:t>
      </w:r>
      <w:r w:rsidR="004A409A">
        <w:rPr>
          <w:rFonts w:ascii="Arial" w:hAnsi="Arial" w:cs="Arial"/>
          <w:sz w:val="16"/>
          <w:szCs w:val="16"/>
          <w:lang w:val="en"/>
        </w:rPr>
        <w:t>)</w:t>
      </w:r>
      <w:r w:rsidR="004A409A" w:rsidRPr="00DA75E5">
        <w:rPr>
          <w:rFonts w:ascii="Arial" w:hAnsi="Arial" w:cs="Arial"/>
          <w:sz w:val="16"/>
          <w:szCs w:val="16"/>
        </w:rPr>
        <w:t xml:space="preserve"> equivalent to staff hours, administrative costs</w:t>
      </w:r>
      <w:r w:rsidR="004A409A">
        <w:rPr>
          <w:rFonts w:ascii="Arial" w:hAnsi="Arial" w:cs="Arial"/>
          <w:sz w:val="16"/>
          <w:szCs w:val="16"/>
        </w:rPr>
        <w:t xml:space="preserve"> </w:t>
      </w:r>
      <w:r w:rsidR="004A409A" w:rsidRPr="00DA75E5">
        <w:rPr>
          <w:rFonts w:ascii="Arial" w:hAnsi="Arial" w:cs="Arial"/>
          <w:sz w:val="16"/>
          <w:szCs w:val="16"/>
          <w:lang w:val="en"/>
        </w:rPr>
        <w:t>(offices, classrooms, travel expenses, communications, logistics and computer equipment)</w:t>
      </w:r>
      <w:r w:rsidR="004A409A">
        <w:rPr>
          <w:rFonts w:ascii="Arial" w:hAnsi="Arial" w:cs="Arial"/>
          <w:sz w:val="16"/>
          <w:szCs w:val="16"/>
          <w:lang w:val="en"/>
        </w:rPr>
        <w:t>.</w:t>
      </w:r>
    </w:p>
  </w:footnote>
  <w:footnote w:id="19">
    <w:p w14:paraId="6D107D16" w14:textId="776F9064" w:rsidR="00B55231" w:rsidRDefault="00B55231" w:rsidP="004D5FA1">
      <w:pPr>
        <w:pStyle w:val="Textonotapie"/>
        <w:jc w:val="both"/>
      </w:pPr>
      <w:r>
        <w:rPr>
          <w:rStyle w:val="Refdenotaalpie"/>
        </w:rPr>
        <w:footnoteRef/>
      </w:r>
      <w:r>
        <w:t xml:space="preserve"> </w:t>
      </w:r>
      <w:r w:rsidR="004D5FA1" w:rsidRPr="004D5FA1">
        <w:rPr>
          <w:rFonts w:ascii="Arial" w:hAnsi="Arial" w:cs="Arial"/>
          <w:sz w:val="16"/>
          <w:szCs w:val="16"/>
          <w:lang w:val="en"/>
        </w:rPr>
        <w:t>Project Coordinating Unit: The IDB will create a PCU composed of professionals and a cluster of itinerant technical specialists based on technical topics. The PCU will be coordinated by the IDB WSA Specialist in Colombia; PCU members potentially are: i) a full-time Project Planning and Management Specialist, ii) a full-time Corporate Development Specialist, a iii) a full-time Procurement and Administrative Support professional, iv) a part-time Sector Specialist, and v) Technical Specialists with dedication as needed.</w:t>
      </w:r>
    </w:p>
  </w:footnote>
  <w:footnote w:id="20">
    <w:p w14:paraId="1E52D279" w14:textId="08E25E25" w:rsidR="00F464B2" w:rsidRDefault="00F464B2" w:rsidP="003D6955">
      <w:pPr>
        <w:pStyle w:val="Textonotapie"/>
        <w:jc w:val="both"/>
      </w:pPr>
      <w:r>
        <w:rPr>
          <w:rStyle w:val="Refdenotaalpie"/>
        </w:rPr>
        <w:footnoteRef/>
      </w:r>
      <w:r>
        <w:t xml:space="preserve"> </w:t>
      </w:r>
      <w:r w:rsidR="003D6955" w:rsidRPr="003D6955">
        <w:rPr>
          <w:rFonts w:ascii="Arial" w:hAnsi="Arial" w:cs="Arial"/>
          <w:sz w:val="16"/>
          <w:szCs w:val="16"/>
          <w:lang w:val="en"/>
        </w:rPr>
        <w:t xml:space="preserve">The overall Program will include an audit for Executing Agency </w:t>
      </w:r>
      <w:r w:rsidR="005973F9" w:rsidRPr="005973F9">
        <w:rPr>
          <w:rFonts w:ascii="Arial" w:hAnsi="Arial" w:cs="Arial"/>
          <w:sz w:val="16"/>
          <w:szCs w:val="16"/>
          <w:lang w:val="en"/>
        </w:rPr>
        <w:t>Colombian Association of Sanitary and Environmental Engineering</w:t>
      </w:r>
      <w:r w:rsidR="003D6955" w:rsidRPr="003D6955">
        <w:rPr>
          <w:rFonts w:ascii="Arial" w:hAnsi="Arial" w:cs="Arial"/>
          <w:sz w:val="16"/>
          <w:szCs w:val="16"/>
          <w:lang w:val="en"/>
        </w:rPr>
        <w:t xml:space="preserve"> (ACODAL).</w:t>
      </w:r>
    </w:p>
  </w:footnote>
  <w:footnote w:id="21">
    <w:p w14:paraId="1FFB3AEC" w14:textId="7C89E737" w:rsidR="00556DC8" w:rsidRDefault="00556DC8" w:rsidP="00E20BCE">
      <w:pPr>
        <w:pStyle w:val="Textonotapie"/>
        <w:jc w:val="both"/>
      </w:pPr>
      <w:r>
        <w:rPr>
          <w:rStyle w:val="Refdenotaalpie"/>
        </w:rPr>
        <w:footnoteRef/>
      </w:r>
      <w:r>
        <w:t xml:space="preserve"> </w:t>
      </w:r>
      <w:r w:rsidR="00E20BCE" w:rsidRPr="00E20BCE">
        <w:rPr>
          <w:rFonts w:ascii="Arial" w:hAnsi="Arial" w:cs="Arial"/>
          <w:sz w:val="16"/>
          <w:szCs w:val="16"/>
          <w:lang w:val="en"/>
        </w:rPr>
        <w:t>Financial reserve designated to cover potential unexpected expenses necessary for the project's successful development.</w:t>
      </w:r>
    </w:p>
  </w:footnote>
  <w:footnote w:id="22">
    <w:p w14:paraId="755F9548" w14:textId="1AE96B70" w:rsidR="009C5EA9" w:rsidRDefault="009C5EA9" w:rsidP="005973F9">
      <w:pPr>
        <w:pStyle w:val="Textonotapie"/>
        <w:jc w:val="both"/>
      </w:pPr>
      <w:r>
        <w:rPr>
          <w:rStyle w:val="Refdenotaalpie"/>
        </w:rPr>
        <w:footnoteRef/>
      </w:r>
      <w:r>
        <w:t xml:space="preserve"> </w:t>
      </w:r>
      <w:r w:rsidR="00636193" w:rsidRPr="00206CF5">
        <w:rPr>
          <w:rFonts w:ascii="Arial" w:hAnsi="Arial" w:cs="Arial"/>
          <w:sz w:val="16"/>
          <w:szCs w:val="16"/>
          <w:lang w:val="en-GB"/>
        </w:rPr>
        <w:t xml:space="preserve">ANDESCO will participate along with the IDB in revision of products and deliverables for Component 1, and will </w:t>
      </w:r>
      <w:proofErr w:type="gramStart"/>
      <w:r w:rsidR="00636193" w:rsidRPr="00206CF5">
        <w:rPr>
          <w:rFonts w:ascii="Arial" w:hAnsi="Arial" w:cs="Arial"/>
          <w:sz w:val="16"/>
          <w:szCs w:val="16"/>
          <w:lang w:val="en-GB"/>
        </w:rPr>
        <w:t>be in charge of</w:t>
      </w:r>
      <w:proofErr w:type="gramEnd"/>
      <w:r w:rsidR="00636193" w:rsidRPr="00206CF5">
        <w:rPr>
          <w:rFonts w:ascii="Arial" w:hAnsi="Arial" w:cs="Arial"/>
          <w:sz w:val="16"/>
          <w:szCs w:val="16"/>
          <w:lang w:val="en-GB"/>
        </w:rPr>
        <w:t xml:space="preserve"> their appropriation, use and dissemination.</w:t>
      </w:r>
    </w:p>
  </w:footnote>
  <w:footnote w:id="23">
    <w:p w14:paraId="5F87EF4A" w14:textId="505C57CA" w:rsidR="00302266" w:rsidRDefault="00302266" w:rsidP="0018385F">
      <w:pPr>
        <w:pStyle w:val="Textonotapie"/>
        <w:jc w:val="both"/>
      </w:pPr>
      <w:r>
        <w:rPr>
          <w:rStyle w:val="Refdenotaalpie"/>
        </w:rPr>
        <w:footnoteRef/>
      </w:r>
      <w:r>
        <w:t xml:space="preserve"> </w:t>
      </w:r>
      <w:r w:rsidR="0018385F">
        <w:rPr>
          <w:rFonts w:ascii="Arial" w:hAnsi="Arial" w:cs="Arial"/>
          <w:sz w:val="16"/>
          <w:szCs w:val="16"/>
        </w:rPr>
        <w:t xml:space="preserve">The </w:t>
      </w:r>
      <w:r w:rsidR="0018385F" w:rsidRPr="0018385F">
        <w:rPr>
          <w:rFonts w:ascii="Arial" w:hAnsi="Arial" w:cs="Arial"/>
          <w:sz w:val="16"/>
          <w:szCs w:val="16"/>
        </w:rPr>
        <w:t xml:space="preserve">donor has included in the credit proposal: “The IDB will operate through the existing Project Coordination Unit (PCU) based in Colombia. Continuity in the professional excellence will be ensured by its four existing permanent professionals and a cluster of itinerant technical specialists based on technical topics. The PCU will be coordinated by the IDB Water and Sanitation Specialist in Colombia and is composed by four full-time PCU members and a part-time Sector Specialist.  Also, the </w:t>
      </w:r>
      <w:proofErr w:type="spellStart"/>
      <w:r w:rsidR="0018385F" w:rsidRPr="0018385F">
        <w:rPr>
          <w:rFonts w:ascii="Arial" w:hAnsi="Arial" w:cs="Arial"/>
          <w:sz w:val="16"/>
          <w:szCs w:val="16"/>
        </w:rPr>
        <w:t>Programme</w:t>
      </w:r>
      <w:proofErr w:type="spellEnd"/>
      <w:r w:rsidR="0018385F" w:rsidRPr="0018385F">
        <w:rPr>
          <w:rFonts w:ascii="Arial" w:hAnsi="Arial" w:cs="Arial"/>
          <w:sz w:val="16"/>
          <w:szCs w:val="16"/>
        </w:rPr>
        <w:t xml:space="preserve"> will leverage the expertise of the IDB Group in different areas, including legal, finance, procurement, and project reporting”.</w:t>
      </w:r>
    </w:p>
  </w:footnote>
  <w:footnote w:id="24">
    <w:p w14:paraId="7F483A91" w14:textId="57AB9FF7" w:rsidR="00DC1001" w:rsidRDefault="00DC1001" w:rsidP="00477EF3">
      <w:pPr>
        <w:pStyle w:val="Textonotapie"/>
        <w:jc w:val="both"/>
      </w:pPr>
      <w:r>
        <w:rPr>
          <w:rStyle w:val="Refdenotaalpie"/>
        </w:rPr>
        <w:footnoteRef/>
      </w:r>
      <w:r>
        <w:t xml:space="preserve"> </w:t>
      </w:r>
      <w:r w:rsidR="00962252" w:rsidRPr="00664B7F">
        <w:rPr>
          <w:rFonts w:ascii="Arial" w:hAnsi="Arial" w:cs="Arial"/>
          <w:sz w:val="16"/>
          <w:szCs w:val="16"/>
          <w:lang w:val="en-GB"/>
        </w:rPr>
        <w:t>ACODAL was audited regarding the implementation of CO-T1555 with the result that they complied in all substantial aspects with the contractual clauses of an accounting and financial nature of the Non-Refundable Technical Cooperation Agreement ATN/MA-17957-CO signed with the IDB and the laws and regulations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AB23C" w14:textId="2AD61C99" w:rsidR="0059194E" w:rsidRPr="00AC07CF" w:rsidRDefault="0059194E">
    <w:pPr>
      <w:pStyle w:val="Encabezado"/>
      <w:jc w:val="center"/>
      <w:rPr>
        <w:rFonts w:ascii="Arial" w:hAnsi="Arial" w:cs="Arial"/>
        <w:sz w:val="18"/>
        <w:szCs w:val="18"/>
      </w:rPr>
    </w:pPr>
    <w:r w:rsidRPr="00AC07CF">
      <w:rPr>
        <w:rFonts w:ascii="Arial" w:hAnsi="Arial" w:cs="Arial"/>
        <w:sz w:val="18"/>
        <w:szCs w:val="18"/>
      </w:rPr>
      <w:t>- </w:t>
    </w:r>
    <w:sdt>
      <w:sdtPr>
        <w:rPr>
          <w:rFonts w:ascii="Arial" w:hAnsi="Arial" w:cs="Arial"/>
          <w:sz w:val="18"/>
          <w:szCs w:val="18"/>
        </w:rPr>
        <w:id w:val="2129964275"/>
        <w:docPartObj>
          <w:docPartGallery w:val="Page Numbers (Top of Page)"/>
          <w:docPartUnique/>
        </w:docPartObj>
      </w:sdtPr>
      <w:sdtEndPr>
        <w:rPr>
          <w:noProof/>
        </w:rPr>
      </w:sdtEndPr>
      <w:sdtContent>
        <w:r w:rsidRPr="00AC07CF">
          <w:rPr>
            <w:rFonts w:ascii="Arial" w:hAnsi="Arial" w:cs="Arial"/>
            <w:sz w:val="18"/>
            <w:szCs w:val="18"/>
          </w:rPr>
          <w:fldChar w:fldCharType="begin"/>
        </w:r>
        <w:r w:rsidRPr="00AC07CF">
          <w:rPr>
            <w:rFonts w:ascii="Arial" w:hAnsi="Arial" w:cs="Arial"/>
            <w:sz w:val="18"/>
            <w:szCs w:val="18"/>
          </w:rPr>
          <w:instrText xml:space="preserve"> PAGE   \* MERGEFORMAT </w:instrText>
        </w:r>
        <w:r w:rsidRPr="00AC07CF">
          <w:rPr>
            <w:rFonts w:ascii="Arial" w:hAnsi="Arial" w:cs="Arial"/>
            <w:sz w:val="18"/>
            <w:szCs w:val="18"/>
          </w:rPr>
          <w:fldChar w:fldCharType="separate"/>
        </w:r>
        <w:r w:rsidR="00EE7001">
          <w:rPr>
            <w:rFonts w:ascii="Arial" w:hAnsi="Arial" w:cs="Arial"/>
            <w:noProof/>
            <w:sz w:val="18"/>
            <w:szCs w:val="18"/>
          </w:rPr>
          <w:t>4</w:t>
        </w:r>
        <w:r w:rsidRPr="00AC07CF">
          <w:rPr>
            <w:rFonts w:ascii="Arial" w:hAnsi="Arial" w:cs="Arial"/>
            <w:noProof/>
            <w:sz w:val="18"/>
            <w:szCs w:val="18"/>
          </w:rPr>
          <w:fldChar w:fldCharType="end"/>
        </w:r>
        <w:r w:rsidRPr="00AC07CF">
          <w:rPr>
            <w:rFonts w:ascii="Arial" w:hAnsi="Arial" w:cs="Arial"/>
            <w:noProof/>
            <w:sz w:val="18"/>
            <w:szCs w:val="18"/>
          </w:rPr>
          <w:t> -</w:t>
        </w:r>
      </w:sdtContent>
    </w:sdt>
  </w:p>
  <w:p w14:paraId="3BBAB23D" w14:textId="77777777" w:rsidR="0059194E" w:rsidRPr="00AC07CF" w:rsidRDefault="0059194E" w:rsidP="0059194E">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893"/>
    <w:multiLevelType w:val="hybridMultilevel"/>
    <w:tmpl w:val="47A60A82"/>
    <w:lvl w:ilvl="0" w:tplc="77206A76">
      <w:start w:val="1"/>
      <w:numFmt w:val="decimal"/>
      <w:lvlText w:val="%1."/>
      <w:lvlJc w:val="left"/>
      <w:pPr>
        <w:ind w:left="1440" w:hanging="360"/>
      </w:pPr>
    </w:lvl>
    <w:lvl w:ilvl="1" w:tplc="AFBAF558">
      <w:start w:val="1"/>
      <w:numFmt w:val="decimal"/>
      <w:lvlText w:val="%2."/>
      <w:lvlJc w:val="left"/>
      <w:pPr>
        <w:ind w:left="1440" w:hanging="360"/>
      </w:pPr>
    </w:lvl>
    <w:lvl w:ilvl="2" w:tplc="CC3A5CDE">
      <w:start w:val="1"/>
      <w:numFmt w:val="decimal"/>
      <w:lvlText w:val="%3."/>
      <w:lvlJc w:val="left"/>
      <w:pPr>
        <w:ind w:left="1440" w:hanging="360"/>
      </w:pPr>
    </w:lvl>
    <w:lvl w:ilvl="3" w:tplc="22CC50FE">
      <w:start w:val="1"/>
      <w:numFmt w:val="decimal"/>
      <w:lvlText w:val="%4."/>
      <w:lvlJc w:val="left"/>
      <w:pPr>
        <w:ind w:left="1440" w:hanging="360"/>
      </w:pPr>
    </w:lvl>
    <w:lvl w:ilvl="4" w:tplc="8AF455AE">
      <w:start w:val="1"/>
      <w:numFmt w:val="decimal"/>
      <w:lvlText w:val="%5."/>
      <w:lvlJc w:val="left"/>
      <w:pPr>
        <w:ind w:left="1440" w:hanging="360"/>
      </w:pPr>
    </w:lvl>
    <w:lvl w:ilvl="5" w:tplc="7DD4D3C4">
      <w:start w:val="1"/>
      <w:numFmt w:val="decimal"/>
      <w:lvlText w:val="%6."/>
      <w:lvlJc w:val="left"/>
      <w:pPr>
        <w:ind w:left="1440" w:hanging="360"/>
      </w:pPr>
    </w:lvl>
    <w:lvl w:ilvl="6" w:tplc="7C76283E">
      <w:start w:val="1"/>
      <w:numFmt w:val="decimal"/>
      <w:lvlText w:val="%7."/>
      <w:lvlJc w:val="left"/>
      <w:pPr>
        <w:ind w:left="1440" w:hanging="360"/>
      </w:pPr>
    </w:lvl>
    <w:lvl w:ilvl="7" w:tplc="4B6E4C98">
      <w:start w:val="1"/>
      <w:numFmt w:val="decimal"/>
      <w:lvlText w:val="%8."/>
      <w:lvlJc w:val="left"/>
      <w:pPr>
        <w:ind w:left="1440" w:hanging="360"/>
      </w:pPr>
    </w:lvl>
    <w:lvl w:ilvl="8" w:tplc="CE784D34">
      <w:start w:val="1"/>
      <w:numFmt w:val="decimal"/>
      <w:lvlText w:val="%9."/>
      <w:lvlJc w:val="left"/>
      <w:pPr>
        <w:ind w:left="1440" w:hanging="360"/>
      </w:pPr>
    </w:lvl>
  </w:abstractNum>
  <w:abstractNum w:abstractNumId="1" w15:restartNumberingAfterBreak="0">
    <w:nsid w:val="071032CA"/>
    <w:multiLevelType w:val="hybridMultilevel"/>
    <w:tmpl w:val="58D8BF9C"/>
    <w:lvl w:ilvl="0" w:tplc="39668AC6">
      <w:start w:val="1"/>
      <w:numFmt w:val="decimal"/>
      <w:lvlText w:val="%1."/>
      <w:lvlJc w:val="left"/>
      <w:pPr>
        <w:ind w:left="1440" w:hanging="360"/>
      </w:pPr>
    </w:lvl>
    <w:lvl w:ilvl="1" w:tplc="5CE6703C">
      <w:start w:val="1"/>
      <w:numFmt w:val="decimal"/>
      <w:lvlText w:val="%2."/>
      <w:lvlJc w:val="left"/>
      <w:pPr>
        <w:ind w:left="1440" w:hanging="360"/>
      </w:pPr>
    </w:lvl>
    <w:lvl w:ilvl="2" w:tplc="4160550A">
      <w:start w:val="1"/>
      <w:numFmt w:val="decimal"/>
      <w:lvlText w:val="%3."/>
      <w:lvlJc w:val="left"/>
      <w:pPr>
        <w:ind w:left="1440" w:hanging="360"/>
      </w:pPr>
    </w:lvl>
    <w:lvl w:ilvl="3" w:tplc="DA3E321C">
      <w:start w:val="1"/>
      <w:numFmt w:val="decimal"/>
      <w:lvlText w:val="%4."/>
      <w:lvlJc w:val="left"/>
      <w:pPr>
        <w:ind w:left="1440" w:hanging="360"/>
      </w:pPr>
    </w:lvl>
    <w:lvl w:ilvl="4" w:tplc="C5A03772">
      <w:start w:val="1"/>
      <w:numFmt w:val="decimal"/>
      <w:lvlText w:val="%5."/>
      <w:lvlJc w:val="left"/>
      <w:pPr>
        <w:ind w:left="1440" w:hanging="360"/>
      </w:pPr>
    </w:lvl>
    <w:lvl w:ilvl="5" w:tplc="922C1386">
      <w:start w:val="1"/>
      <w:numFmt w:val="decimal"/>
      <w:lvlText w:val="%6."/>
      <w:lvlJc w:val="left"/>
      <w:pPr>
        <w:ind w:left="1440" w:hanging="360"/>
      </w:pPr>
    </w:lvl>
    <w:lvl w:ilvl="6" w:tplc="5726BE58">
      <w:start w:val="1"/>
      <w:numFmt w:val="decimal"/>
      <w:lvlText w:val="%7."/>
      <w:lvlJc w:val="left"/>
      <w:pPr>
        <w:ind w:left="1440" w:hanging="360"/>
      </w:pPr>
    </w:lvl>
    <w:lvl w:ilvl="7" w:tplc="D2E0623E">
      <w:start w:val="1"/>
      <w:numFmt w:val="decimal"/>
      <w:lvlText w:val="%8."/>
      <w:lvlJc w:val="left"/>
      <w:pPr>
        <w:ind w:left="1440" w:hanging="360"/>
      </w:pPr>
    </w:lvl>
    <w:lvl w:ilvl="8" w:tplc="4E4C3B56">
      <w:start w:val="1"/>
      <w:numFmt w:val="decimal"/>
      <w:lvlText w:val="%9."/>
      <w:lvlJc w:val="left"/>
      <w:pPr>
        <w:ind w:left="1440" w:hanging="360"/>
      </w:pPr>
    </w:lvl>
  </w:abstractNum>
  <w:abstractNum w:abstractNumId="2" w15:restartNumberingAfterBreak="0">
    <w:nsid w:val="0B487C96"/>
    <w:multiLevelType w:val="hybridMultilevel"/>
    <w:tmpl w:val="BBD80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65631"/>
    <w:multiLevelType w:val="hybridMultilevel"/>
    <w:tmpl w:val="F83489CA"/>
    <w:lvl w:ilvl="0" w:tplc="757A2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4963"/>
    <w:multiLevelType w:val="hybridMultilevel"/>
    <w:tmpl w:val="95EAD726"/>
    <w:lvl w:ilvl="0" w:tplc="AC6C38CE">
      <w:numFmt w:val="bullet"/>
      <w:lvlText w:val=""/>
      <w:lvlJc w:val="left"/>
      <w:pPr>
        <w:ind w:left="390" w:hanging="360"/>
      </w:pPr>
      <w:rPr>
        <w:rFonts w:ascii="Symbol" w:eastAsiaTheme="minorHAnsi" w:hAnsi="Symbol"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28311683"/>
    <w:multiLevelType w:val="hybridMultilevel"/>
    <w:tmpl w:val="9C7A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2E025C"/>
    <w:multiLevelType w:val="hybridMultilevel"/>
    <w:tmpl w:val="B2248766"/>
    <w:lvl w:ilvl="0" w:tplc="C700CC4A">
      <w:numFmt w:val="bullet"/>
      <w:lvlText w:val=""/>
      <w:lvlJc w:val="left"/>
      <w:pPr>
        <w:ind w:left="750" w:hanging="360"/>
      </w:pPr>
      <w:rPr>
        <w:rFonts w:ascii="Symbol" w:eastAsiaTheme="minorHAnsi" w:hAnsi="Symbol" w:cstheme="minorBid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29FC5B65"/>
    <w:multiLevelType w:val="hybridMultilevel"/>
    <w:tmpl w:val="FE2EBD92"/>
    <w:lvl w:ilvl="0" w:tplc="06EAA73A">
      <w:start w:val="1"/>
      <w:numFmt w:val="decimal"/>
      <w:lvlText w:val="%1."/>
      <w:lvlJc w:val="left"/>
      <w:pPr>
        <w:ind w:left="1440" w:hanging="360"/>
      </w:pPr>
    </w:lvl>
    <w:lvl w:ilvl="1" w:tplc="EDC0819C">
      <w:start w:val="1"/>
      <w:numFmt w:val="decimal"/>
      <w:lvlText w:val="%2."/>
      <w:lvlJc w:val="left"/>
      <w:pPr>
        <w:ind w:left="1440" w:hanging="360"/>
      </w:pPr>
    </w:lvl>
    <w:lvl w:ilvl="2" w:tplc="D76E4CCE">
      <w:start w:val="1"/>
      <w:numFmt w:val="decimal"/>
      <w:lvlText w:val="%3."/>
      <w:lvlJc w:val="left"/>
      <w:pPr>
        <w:ind w:left="1440" w:hanging="360"/>
      </w:pPr>
    </w:lvl>
    <w:lvl w:ilvl="3" w:tplc="F9446AA4">
      <w:start w:val="1"/>
      <w:numFmt w:val="decimal"/>
      <w:lvlText w:val="%4."/>
      <w:lvlJc w:val="left"/>
      <w:pPr>
        <w:ind w:left="1440" w:hanging="360"/>
      </w:pPr>
    </w:lvl>
    <w:lvl w:ilvl="4" w:tplc="7C649FE0">
      <w:start w:val="1"/>
      <w:numFmt w:val="decimal"/>
      <w:lvlText w:val="%5."/>
      <w:lvlJc w:val="left"/>
      <w:pPr>
        <w:ind w:left="1440" w:hanging="360"/>
      </w:pPr>
    </w:lvl>
    <w:lvl w:ilvl="5" w:tplc="CAE8CB86">
      <w:start w:val="1"/>
      <w:numFmt w:val="decimal"/>
      <w:lvlText w:val="%6."/>
      <w:lvlJc w:val="left"/>
      <w:pPr>
        <w:ind w:left="1440" w:hanging="360"/>
      </w:pPr>
    </w:lvl>
    <w:lvl w:ilvl="6" w:tplc="82EE7AB2">
      <w:start w:val="1"/>
      <w:numFmt w:val="decimal"/>
      <w:lvlText w:val="%7."/>
      <w:lvlJc w:val="left"/>
      <w:pPr>
        <w:ind w:left="1440" w:hanging="360"/>
      </w:pPr>
    </w:lvl>
    <w:lvl w:ilvl="7" w:tplc="7CF2BEEA">
      <w:start w:val="1"/>
      <w:numFmt w:val="decimal"/>
      <w:lvlText w:val="%8."/>
      <w:lvlJc w:val="left"/>
      <w:pPr>
        <w:ind w:left="1440" w:hanging="360"/>
      </w:pPr>
    </w:lvl>
    <w:lvl w:ilvl="8" w:tplc="A26C9728">
      <w:start w:val="1"/>
      <w:numFmt w:val="decimal"/>
      <w:lvlText w:val="%9."/>
      <w:lvlJc w:val="left"/>
      <w:pPr>
        <w:ind w:left="1440" w:hanging="360"/>
      </w:pPr>
    </w:lvl>
  </w:abstractNum>
  <w:abstractNum w:abstractNumId="8" w15:restartNumberingAfterBreak="0">
    <w:nsid w:val="2C2F5421"/>
    <w:multiLevelType w:val="hybridMultilevel"/>
    <w:tmpl w:val="0B145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D0B9B"/>
    <w:multiLevelType w:val="hybridMultilevel"/>
    <w:tmpl w:val="D5189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55A55"/>
    <w:multiLevelType w:val="hybridMultilevel"/>
    <w:tmpl w:val="675456FE"/>
    <w:lvl w:ilvl="0" w:tplc="E41CCB1C">
      <w:start w:val="1"/>
      <w:numFmt w:val="decimal"/>
      <w:lvlText w:val="%1."/>
      <w:lvlJc w:val="left"/>
      <w:pPr>
        <w:ind w:left="1440" w:hanging="360"/>
      </w:pPr>
    </w:lvl>
    <w:lvl w:ilvl="1" w:tplc="A800921A">
      <w:start w:val="1"/>
      <w:numFmt w:val="decimal"/>
      <w:lvlText w:val="%2."/>
      <w:lvlJc w:val="left"/>
      <w:pPr>
        <w:ind w:left="1440" w:hanging="360"/>
      </w:pPr>
    </w:lvl>
    <w:lvl w:ilvl="2" w:tplc="5EF45012">
      <w:start w:val="1"/>
      <w:numFmt w:val="decimal"/>
      <w:lvlText w:val="%3."/>
      <w:lvlJc w:val="left"/>
      <w:pPr>
        <w:ind w:left="1440" w:hanging="360"/>
      </w:pPr>
    </w:lvl>
    <w:lvl w:ilvl="3" w:tplc="3350E93A">
      <w:start w:val="1"/>
      <w:numFmt w:val="decimal"/>
      <w:lvlText w:val="%4."/>
      <w:lvlJc w:val="left"/>
      <w:pPr>
        <w:ind w:left="1440" w:hanging="360"/>
      </w:pPr>
    </w:lvl>
    <w:lvl w:ilvl="4" w:tplc="DEF63E28">
      <w:start w:val="1"/>
      <w:numFmt w:val="decimal"/>
      <w:lvlText w:val="%5."/>
      <w:lvlJc w:val="left"/>
      <w:pPr>
        <w:ind w:left="1440" w:hanging="360"/>
      </w:pPr>
    </w:lvl>
    <w:lvl w:ilvl="5" w:tplc="F49ED48A">
      <w:start w:val="1"/>
      <w:numFmt w:val="decimal"/>
      <w:lvlText w:val="%6."/>
      <w:lvlJc w:val="left"/>
      <w:pPr>
        <w:ind w:left="1440" w:hanging="360"/>
      </w:pPr>
    </w:lvl>
    <w:lvl w:ilvl="6" w:tplc="3836EAB8">
      <w:start w:val="1"/>
      <w:numFmt w:val="decimal"/>
      <w:lvlText w:val="%7."/>
      <w:lvlJc w:val="left"/>
      <w:pPr>
        <w:ind w:left="1440" w:hanging="360"/>
      </w:pPr>
    </w:lvl>
    <w:lvl w:ilvl="7" w:tplc="1B3C24BC">
      <w:start w:val="1"/>
      <w:numFmt w:val="decimal"/>
      <w:lvlText w:val="%8."/>
      <w:lvlJc w:val="left"/>
      <w:pPr>
        <w:ind w:left="1440" w:hanging="360"/>
      </w:pPr>
    </w:lvl>
    <w:lvl w:ilvl="8" w:tplc="A0729BF0">
      <w:start w:val="1"/>
      <w:numFmt w:val="decimal"/>
      <w:lvlText w:val="%9."/>
      <w:lvlJc w:val="left"/>
      <w:pPr>
        <w:ind w:left="1440" w:hanging="360"/>
      </w:pPr>
    </w:lvl>
  </w:abstractNum>
  <w:abstractNum w:abstractNumId="11" w15:restartNumberingAfterBreak="0">
    <w:nsid w:val="3A2A2A17"/>
    <w:multiLevelType w:val="hybridMultilevel"/>
    <w:tmpl w:val="267CE120"/>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CC10A8F"/>
    <w:multiLevelType w:val="hybridMultilevel"/>
    <w:tmpl w:val="92400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6518F"/>
    <w:multiLevelType w:val="hybridMultilevel"/>
    <w:tmpl w:val="5158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C869E7"/>
    <w:multiLevelType w:val="hybridMultilevel"/>
    <w:tmpl w:val="151EA2D0"/>
    <w:lvl w:ilvl="0" w:tplc="76FE4DFA">
      <w:start w:val="1"/>
      <w:numFmt w:val="decimal"/>
      <w:lvlText w:val="%1."/>
      <w:lvlJc w:val="left"/>
      <w:pPr>
        <w:ind w:left="1440" w:hanging="360"/>
      </w:pPr>
    </w:lvl>
    <w:lvl w:ilvl="1" w:tplc="C046C786">
      <w:start w:val="1"/>
      <w:numFmt w:val="decimal"/>
      <w:lvlText w:val="%2."/>
      <w:lvlJc w:val="left"/>
      <w:pPr>
        <w:ind w:left="1440" w:hanging="360"/>
      </w:pPr>
    </w:lvl>
    <w:lvl w:ilvl="2" w:tplc="0DEEBEB8">
      <w:start w:val="1"/>
      <w:numFmt w:val="decimal"/>
      <w:lvlText w:val="%3."/>
      <w:lvlJc w:val="left"/>
      <w:pPr>
        <w:ind w:left="1440" w:hanging="360"/>
      </w:pPr>
    </w:lvl>
    <w:lvl w:ilvl="3" w:tplc="21088730">
      <w:start w:val="1"/>
      <w:numFmt w:val="decimal"/>
      <w:lvlText w:val="%4."/>
      <w:lvlJc w:val="left"/>
      <w:pPr>
        <w:ind w:left="1440" w:hanging="360"/>
      </w:pPr>
    </w:lvl>
    <w:lvl w:ilvl="4" w:tplc="BC14C6E6">
      <w:start w:val="1"/>
      <w:numFmt w:val="decimal"/>
      <w:lvlText w:val="%5."/>
      <w:lvlJc w:val="left"/>
      <w:pPr>
        <w:ind w:left="1440" w:hanging="360"/>
      </w:pPr>
    </w:lvl>
    <w:lvl w:ilvl="5" w:tplc="F252CDFE">
      <w:start w:val="1"/>
      <w:numFmt w:val="decimal"/>
      <w:lvlText w:val="%6."/>
      <w:lvlJc w:val="left"/>
      <w:pPr>
        <w:ind w:left="1440" w:hanging="360"/>
      </w:pPr>
    </w:lvl>
    <w:lvl w:ilvl="6" w:tplc="33FA5F0C">
      <w:start w:val="1"/>
      <w:numFmt w:val="decimal"/>
      <w:lvlText w:val="%7."/>
      <w:lvlJc w:val="left"/>
      <w:pPr>
        <w:ind w:left="1440" w:hanging="360"/>
      </w:pPr>
    </w:lvl>
    <w:lvl w:ilvl="7" w:tplc="A51CBB98">
      <w:start w:val="1"/>
      <w:numFmt w:val="decimal"/>
      <w:lvlText w:val="%8."/>
      <w:lvlJc w:val="left"/>
      <w:pPr>
        <w:ind w:left="1440" w:hanging="360"/>
      </w:pPr>
    </w:lvl>
    <w:lvl w:ilvl="8" w:tplc="57420FB0">
      <w:start w:val="1"/>
      <w:numFmt w:val="decimal"/>
      <w:lvlText w:val="%9."/>
      <w:lvlJc w:val="left"/>
      <w:pPr>
        <w:ind w:left="1440" w:hanging="360"/>
      </w:pPr>
    </w:lvl>
  </w:abstractNum>
  <w:abstractNum w:abstractNumId="15" w15:restartNumberingAfterBreak="0">
    <w:nsid w:val="439F744C"/>
    <w:multiLevelType w:val="hybridMultilevel"/>
    <w:tmpl w:val="EB8E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17B5D"/>
    <w:multiLevelType w:val="hybridMultilevel"/>
    <w:tmpl w:val="E90C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B267C"/>
    <w:multiLevelType w:val="hybridMultilevel"/>
    <w:tmpl w:val="504E31AE"/>
    <w:lvl w:ilvl="0" w:tplc="56B83BFE">
      <w:start w:val="1"/>
      <w:numFmt w:val="decimal"/>
      <w:lvlText w:val="%1."/>
      <w:lvlJc w:val="left"/>
      <w:pPr>
        <w:ind w:left="1440" w:hanging="360"/>
      </w:pPr>
    </w:lvl>
    <w:lvl w:ilvl="1" w:tplc="EA3CA27C">
      <w:start w:val="1"/>
      <w:numFmt w:val="decimal"/>
      <w:lvlText w:val="%2."/>
      <w:lvlJc w:val="left"/>
      <w:pPr>
        <w:ind w:left="1440" w:hanging="360"/>
      </w:pPr>
    </w:lvl>
    <w:lvl w:ilvl="2" w:tplc="020A7C5C">
      <w:start w:val="1"/>
      <w:numFmt w:val="decimal"/>
      <w:lvlText w:val="%3."/>
      <w:lvlJc w:val="left"/>
      <w:pPr>
        <w:ind w:left="1440" w:hanging="360"/>
      </w:pPr>
    </w:lvl>
    <w:lvl w:ilvl="3" w:tplc="57D04E3A">
      <w:start w:val="1"/>
      <w:numFmt w:val="decimal"/>
      <w:lvlText w:val="%4."/>
      <w:lvlJc w:val="left"/>
      <w:pPr>
        <w:ind w:left="1440" w:hanging="360"/>
      </w:pPr>
    </w:lvl>
    <w:lvl w:ilvl="4" w:tplc="883E1184">
      <w:start w:val="1"/>
      <w:numFmt w:val="decimal"/>
      <w:lvlText w:val="%5."/>
      <w:lvlJc w:val="left"/>
      <w:pPr>
        <w:ind w:left="1440" w:hanging="360"/>
      </w:pPr>
    </w:lvl>
    <w:lvl w:ilvl="5" w:tplc="3C9E0486">
      <w:start w:val="1"/>
      <w:numFmt w:val="decimal"/>
      <w:lvlText w:val="%6."/>
      <w:lvlJc w:val="left"/>
      <w:pPr>
        <w:ind w:left="1440" w:hanging="360"/>
      </w:pPr>
    </w:lvl>
    <w:lvl w:ilvl="6" w:tplc="C1AC696C">
      <w:start w:val="1"/>
      <w:numFmt w:val="decimal"/>
      <w:lvlText w:val="%7."/>
      <w:lvlJc w:val="left"/>
      <w:pPr>
        <w:ind w:left="1440" w:hanging="360"/>
      </w:pPr>
    </w:lvl>
    <w:lvl w:ilvl="7" w:tplc="EFDED1E4">
      <w:start w:val="1"/>
      <w:numFmt w:val="decimal"/>
      <w:lvlText w:val="%8."/>
      <w:lvlJc w:val="left"/>
      <w:pPr>
        <w:ind w:left="1440" w:hanging="360"/>
      </w:pPr>
    </w:lvl>
    <w:lvl w:ilvl="8" w:tplc="A2B470CC">
      <w:start w:val="1"/>
      <w:numFmt w:val="decimal"/>
      <w:lvlText w:val="%9."/>
      <w:lvlJc w:val="left"/>
      <w:pPr>
        <w:ind w:left="1440" w:hanging="360"/>
      </w:pPr>
    </w:lvl>
  </w:abstractNum>
  <w:abstractNum w:abstractNumId="18" w15:restartNumberingAfterBreak="0">
    <w:nsid w:val="4ACB180A"/>
    <w:multiLevelType w:val="hybridMultilevel"/>
    <w:tmpl w:val="CAD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83EB3"/>
    <w:multiLevelType w:val="hybridMultilevel"/>
    <w:tmpl w:val="59BC0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40642"/>
    <w:multiLevelType w:val="hybridMultilevel"/>
    <w:tmpl w:val="999A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747DB"/>
    <w:multiLevelType w:val="hybridMultilevel"/>
    <w:tmpl w:val="E130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B0E83"/>
    <w:multiLevelType w:val="hybridMultilevel"/>
    <w:tmpl w:val="72CEE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73F46"/>
    <w:multiLevelType w:val="hybridMultilevel"/>
    <w:tmpl w:val="5532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A472B"/>
    <w:multiLevelType w:val="multilevel"/>
    <w:tmpl w:val="096A6CE2"/>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F5C51C3"/>
    <w:multiLevelType w:val="hybridMultilevel"/>
    <w:tmpl w:val="7C0C5914"/>
    <w:lvl w:ilvl="0" w:tplc="E2FC7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938337">
    <w:abstractNumId w:val="18"/>
  </w:num>
  <w:num w:numId="2" w16cid:durableId="285044720">
    <w:abstractNumId w:val="12"/>
  </w:num>
  <w:num w:numId="3" w16cid:durableId="419063420">
    <w:abstractNumId w:val="19"/>
  </w:num>
  <w:num w:numId="4" w16cid:durableId="177890404">
    <w:abstractNumId w:val="25"/>
  </w:num>
  <w:num w:numId="5" w16cid:durableId="16084038">
    <w:abstractNumId w:val="24"/>
  </w:num>
  <w:num w:numId="6" w16cid:durableId="536893537">
    <w:abstractNumId w:val="4"/>
  </w:num>
  <w:num w:numId="7" w16cid:durableId="1573150844">
    <w:abstractNumId w:val="6"/>
  </w:num>
  <w:num w:numId="8" w16cid:durableId="388498080">
    <w:abstractNumId w:val="9"/>
  </w:num>
  <w:num w:numId="9" w16cid:durableId="277419156">
    <w:abstractNumId w:val="21"/>
  </w:num>
  <w:num w:numId="10" w16cid:durableId="42483219">
    <w:abstractNumId w:val="22"/>
  </w:num>
  <w:num w:numId="11" w16cid:durableId="2098095894">
    <w:abstractNumId w:val="3"/>
  </w:num>
  <w:num w:numId="12" w16cid:durableId="527179782">
    <w:abstractNumId w:val="8"/>
  </w:num>
  <w:num w:numId="13" w16cid:durableId="467629218">
    <w:abstractNumId w:val="13"/>
  </w:num>
  <w:num w:numId="14" w16cid:durableId="852456350">
    <w:abstractNumId w:val="5"/>
  </w:num>
  <w:num w:numId="15" w16cid:durableId="22560268">
    <w:abstractNumId w:val="16"/>
  </w:num>
  <w:num w:numId="16" w16cid:durableId="1068268487">
    <w:abstractNumId w:val="23"/>
  </w:num>
  <w:num w:numId="17" w16cid:durableId="844251384">
    <w:abstractNumId w:val="20"/>
  </w:num>
  <w:num w:numId="18" w16cid:durableId="779029282">
    <w:abstractNumId w:val="15"/>
  </w:num>
  <w:num w:numId="19" w16cid:durableId="1474173217">
    <w:abstractNumId w:val="2"/>
  </w:num>
  <w:num w:numId="20" w16cid:durableId="1953589913">
    <w:abstractNumId w:val="11"/>
  </w:num>
  <w:num w:numId="21" w16cid:durableId="1338969439">
    <w:abstractNumId w:val="17"/>
  </w:num>
  <w:num w:numId="22" w16cid:durableId="625625403">
    <w:abstractNumId w:val="7"/>
  </w:num>
  <w:num w:numId="23" w16cid:durableId="579023668">
    <w:abstractNumId w:val="0"/>
  </w:num>
  <w:num w:numId="24" w16cid:durableId="1745176986">
    <w:abstractNumId w:val="10"/>
  </w:num>
  <w:num w:numId="25" w16cid:durableId="655449923">
    <w:abstractNumId w:val="14"/>
  </w:num>
  <w:num w:numId="26" w16cid:durableId="190213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CwMDUyMjI0NTYzMzBW0lEKTi0uzszPAykwqwUA95OCdCwAAAA="/>
  </w:docVars>
  <w:rsids>
    <w:rsidRoot w:val="0095711B"/>
    <w:rsid w:val="0000746B"/>
    <w:rsid w:val="00012219"/>
    <w:rsid w:val="000147E3"/>
    <w:rsid w:val="00016C89"/>
    <w:rsid w:val="00017B41"/>
    <w:rsid w:val="0002104E"/>
    <w:rsid w:val="00021FDA"/>
    <w:rsid w:val="000269F9"/>
    <w:rsid w:val="00027FBE"/>
    <w:rsid w:val="00032523"/>
    <w:rsid w:val="00033CFE"/>
    <w:rsid w:val="00041E0C"/>
    <w:rsid w:val="00042BE5"/>
    <w:rsid w:val="00044D61"/>
    <w:rsid w:val="0004502C"/>
    <w:rsid w:val="00046626"/>
    <w:rsid w:val="000564F1"/>
    <w:rsid w:val="0006084F"/>
    <w:rsid w:val="00060C88"/>
    <w:rsid w:val="00060E40"/>
    <w:rsid w:val="00065D4D"/>
    <w:rsid w:val="0006695D"/>
    <w:rsid w:val="00077E00"/>
    <w:rsid w:val="000800CF"/>
    <w:rsid w:val="00084849"/>
    <w:rsid w:val="00086CFF"/>
    <w:rsid w:val="000A5A39"/>
    <w:rsid w:val="000B72C5"/>
    <w:rsid w:val="000C2C7E"/>
    <w:rsid w:val="000C579D"/>
    <w:rsid w:val="000C6956"/>
    <w:rsid w:val="000D06FC"/>
    <w:rsid w:val="000E4D2B"/>
    <w:rsid w:val="000E7D5D"/>
    <w:rsid w:val="000F057E"/>
    <w:rsid w:val="000F39D2"/>
    <w:rsid w:val="000F6D52"/>
    <w:rsid w:val="000F744C"/>
    <w:rsid w:val="000F7F32"/>
    <w:rsid w:val="00102DAE"/>
    <w:rsid w:val="001059AD"/>
    <w:rsid w:val="00111A8C"/>
    <w:rsid w:val="001127C3"/>
    <w:rsid w:val="001129A4"/>
    <w:rsid w:val="00121A02"/>
    <w:rsid w:val="00124040"/>
    <w:rsid w:val="0012585B"/>
    <w:rsid w:val="00130E13"/>
    <w:rsid w:val="001316E2"/>
    <w:rsid w:val="00133678"/>
    <w:rsid w:val="00141DEE"/>
    <w:rsid w:val="00143377"/>
    <w:rsid w:val="001508F1"/>
    <w:rsid w:val="00157483"/>
    <w:rsid w:val="00157A85"/>
    <w:rsid w:val="0017216B"/>
    <w:rsid w:val="00176A52"/>
    <w:rsid w:val="0018385F"/>
    <w:rsid w:val="00184B62"/>
    <w:rsid w:val="0018722D"/>
    <w:rsid w:val="001906C1"/>
    <w:rsid w:val="001969BA"/>
    <w:rsid w:val="00197C7E"/>
    <w:rsid w:val="001A5157"/>
    <w:rsid w:val="001A6378"/>
    <w:rsid w:val="001A6ADD"/>
    <w:rsid w:val="001C18FD"/>
    <w:rsid w:val="001C52CD"/>
    <w:rsid w:val="001D2004"/>
    <w:rsid w:val="001D3ECA"/>
    <w:rsid w:val="001D5F46"/>
    <w:rsid w:val="001E4352"/>
    <w:rsid w:val="001E7456"/>
    <w:rsid w:val="001F1ECA"/>
    <w:rsid w:val="001F41E2"/>
    <w:rsid w:val="001F7559"/>
    <w:rsid w:val="002077E0"/>
    <w:rsid w:val="00210317"/>
    <w:rsid w:val="00210766"/>
    <w:rsid w:val="002107CC"/>
    <w:rsid w:val="00212E32"/>
    <w:rsid w:val="0021353C"/>
    <w:rsid w:val="00214DA3"/>
    <w:rsid w:val="00225B5A"/>
    <w:rsid w:val="00226465"/>
    <w:rsid w:val="00231773"/>
    <w:rsid w:val="0023302F"/>
    <w:rsid w:val="00236249"/>
    <w:rsid w:val="00236F7D"/>
    <w:rsid w:val="00240337"/>
    <w:rsid w:val="00244170"/>
    <w:rsid w:val="00244A9D"/>
    <w:rsid w:val="0025336E"/>
    <w:rsid w:val="00253BB0"/>
    <w:rsid w:val="00255D16"/>
    <w:rsid w:val="002562C6"/>
    <w:rsid w:val="00257BDD"/>
    <w:rsid w:val="0026167C"/>
    <w:rsid w:val="002626AE"/>
    <w:rsid w:val="00262A68"/>
    <w:rsid w:val="00270E14"/>
    <w:rsid w:val="00270E92"/>
    <w:rsid w:val="0027764B"/>
    <w:rsid w:val="0028127C"/>
    <w:rsid w:val="0028247E"/>
    <w:rsid w:val="00283316"/>
    <w:rsid w:val="00283968"/>
    <w:rsid w:val="00292D7D"/>
    <w:rsid w:val="002959D8"/>
    <w:rsid w:val="002A4AAF"/>
    <w:rsid w:val="002A66E5"/>
    <w:rsid w:val="002A775E"/>
    <w:rsid w:val="002B3097"/>
    <w:rsid w:val="002C37CE"/>
    <w:rsid w:val="002D387E"/>
    <w:rsid w:val="002D47A9"/>
    <w:rsid w:val="002D4B50"/>
    <w:rsid w:val="002D6E75"/>
    <w:rsid w:val="002D7FB5"/>
    <w:rsid w:val="002E13F6"/>
    <w:rsid w:val="002E65F5"/>
    <w:rsid w:val="002F736C"/>
    <w:rsid w:val="00302266"/>
    <w:rsid w:val="00302426"/>
    <w:rsid w:val="0030469F"/>
    <w:rsid w:val="00311852"/>
    <w:rsid w:val="00313842"/>
    <w:rsid w:val="00315270"/>
    <w:rsid w:val="00317FCE"/>
    <w:rsid w:val="00320F57"/>
    <w:rsid w:val="00322746"/>
    <w:rsid w:val="00323186"/>
    <w:rsid w:val="003276BD"/>
    <w:rsid w:val="00334783"/>
    <w:rsid w:val="00335B4C"/>
    <w:rsid w:val="00340BC1"/>
    <w:rsid w:val="0034334E"/>
    <w:rsid w:val="00344D20"/>
    <w:rsid w:val="00345C14"/>
    <w:rsid w:val="00346E79"/>
    <w:rsid w:val="003473BD"/>
    <w:rsid w:val="00347D30"/>
    <w:rsid w:val="00353069"/>
    <w:rsid w:val="003622D9"/>
    <w:rsid w:val="00364A0B"/>
    <w:rsid w:val="00364EAD"/>
    <w:rsid w:val="00367E4F"/>
    <w:rsid w:val="00382744"/>
    <w:rsid w:val="003836F5"/>
    <w:rsid w:val="003842FC"/>
    <w:rsid w:val="00386209"/>
    <w:rsid w:val="003903CC"/>
    <w:rsid w:val="00392E58"/>
    <w:rsid w:val="00395A99"/>
    <w:rsid w:val="003A660C"/>
    <w:rsid w:val="003A66C9"/>
    <w:rsid w:val="003B1A41"/>
    <w:rsid w:val="003C2106"/>
    <w:rsid w:val="003C3DB3"/>
    <w:rsid w:val="003D0A65"/>
    <w:rsid w:val="003D2892"/>
    <w:rsid w:val="003D5620"/>
    <w:rsid w:val="003D609D"/>
    <w:rsid w:val="003D6955"/>
    <w:rsid w:val="003D76EB"/>
    <w:rsid w:val="003F1929"/>
    <w:rsid w:val="0040053A"/>
    <w:rsid w:val="0040273F"/>
    <w:rsid w:val="00402DBD"/>
    <w:rsid w:val="00403D49"/>
    <w:rsid w:val="00403DF6"/>
    <w:rsid w:val="00411F01"/>
    <w:rsid w:val="004137C4"/>
    <w:rsid w:val="004143B1"/>
    <w:rsid w:val="00416432"/>
    <w:rsid w:val="00417FB9"/>
    <w:rsid w:val="00423F56"/>
    <w:rsid w:val="00425430"/>
    <w:rsid w:val="00426219"/>
    <w:rsid w:val="004262A1"/>
    <w:rsid w:val="004311D4"/>
    <w:rsid w:val="00431EE3"/>
    <w:rsid w:val="00432C3D"/>
    <w:rsid w:val="00433246"/>
    <w:rsid w:val="0044075B"/>
    <w:rsid w:val="0044708F"/>
    <w:rsid w:val="00451C1B"/>
    <w:rsid w:val="00453E1D"/>
    <w:rsid w:val="00454218"/>
    <w:rsid w:val="00455C4C"/>
    <w:rsid w:val="00463023"/>
    <w:rsid w:val="00466C7E"/>
    <w:rsid w:val="00472C12"/>
    <w:rsid w:val="00477EF3"/>
    <w:rsid w:val="00482240"/>
    <w:rsid w:val="00487538"/>
    <w:rsid w:val="00493053"/>
    <w:rsid w:val="00494731"/>
    <w:rsid w:val="004A0A91"/>
    <w:rsid w:val="004A409A"/>
    <w:rsid w:val="004A7072"/>
    <w:rsid w:val="004B63E1"/>
    <w:rsid w:val="004B657E"/>
    <w:rsid w:val="004C458F"/>
    <w:rsid w:val="004C6883"/>
    <w:rsid w:val="004C6890"/>
    <w:rsid w:val="004C7DA5"/>
    <w:rsid w:val="004D1E7B"/>
    <w:rsid w:val="004D3346"/>
    <w:rsid w:val="004D5823"/>
    <w:rsid w:val="004D5922"/>
    <w:rsid w:val="004D5FA1"/>
    <w:rsid w:val="004D7049"/>
    <w:rsid w:val="004E69FE"/>
    <w:rsid w:val="004F386F"/>
    <w:rsid w:val="004F7E01"/>
    <w:rsid w:val="0050104A"/>
    <w:rsid w:val="00503285"/>
    <w:rsid w:val="00506C09"/>
    <w:rsid w:val="00510DB8"/>
    <w:rsid w:val="00512024"/>
    <w:rsid w:val="00520F58"/>
    <w:rsid w:val="00524B9E"/>
    <w:rsid w:val="00527973"/>
    <w:rsid w:val="00530E9D"/>
    <w:rsid w:val="00531E51"/>
    <w:rsid w:val="00531F52"/>
    <w:rsid w:val="00533015"/>
    <w:rsid w:val="00534ED1"/>
    <w:rsid w:val="0053531C"/>
    <w:rsid w:val="005364CE"/>
    <w:rsid w:val="00544613"/>
    <w:rsid w:val="005503F6"/>
    <w:rsid w:val="005530DC"/>
    <w:rsid w:val="00555B1C"/>
    <w:rsid w:val="00556DC8"/>
    <w:rsid w:val="005601EF"/>
    <w:rsid w:val="00560A71"/>
    <w:rsid w:val="00561326"/>
    <w:rsid w:val="00561BFE"/>
    <w:rsid w:val="00562FCC"/>
    <w:rsid w:val="00563ABC"/>
    <w:rsid w:val="00567CC8"/>
    <w:rsid w:val="005736B6"/>
    <w:rsid w:val="005760CC"/>
    <w:rsid w:val="0058137A"/>
    <w:rsid w:val="00581D49"/>
    <w:rsid w:val="005833C9"/>
    <w:rsid w:val="005836A3"/>
    <w:rsid w:val="005841A3"/>
    <w:rsid w:val="0059194E"/>
    <w:rsid w:val="00593E3D"/>
    <w:rsid w:val="005973F9"/>
    <w:rsid w:val="005A1056"/>
    <w:rsid w:val="005C2475"/>
    <w:rsid w:val="005C3C1B"/>
    <w:rsid w:val="005C5B52"/>
    <w:rsid w:val="005C781B"/>
    <w:rsid w:val="005D17DB"/>
    <w:rsid w:val="005D330B"/>
    <w:rsid w:val="005E5FB4"/>
    <w:rsid w:val="005F069B"/>
    <w:rsid w:val="005F1662"/>
    <w:rsid w:val="005F3777"/>
    <w:rsid w:val="005F488A"/>
    <w:rsid w:val="0060089A"/>
    <w:rsid w:val="00604C6A"/>
    <w:rsid w:val="006060EC"/>
    <w:rsid w:val="006113E5"/>
    <w:rsid w:val="0061320C"/>
    <w:rsid w:val="00613260"/>
    <w:rsid w:val="006268CC"/>
    <w:rsid w:val="0062725A"/>
    <w:rsid w:val="00627ABC"/>
    <w:rsid w:val="006339EC"/>
    <w:rsid w:val="00636193"/>
    <w:rsid w:val="00641ED4"/>
    <w:rsid w:val="00646B82"/>
    <w:rsid w:val="0065036B"/>
    <w:rsid w:val="00654AEB"/>
    <w:rsid w:val="00664574"/>
    <w:rsid w:val="00666FB4"/>
    <w:rsid w:val="00670648"/>
    <w:rsid w:val="006709CD"/>
    <w:rsid w:val="00670E5E"/>
    <w:rsid w:val="00673BF3"/>
    <w:rsid w:val="00675E7A"/>
    <w:rsid w:val="0068004D"/>
    <w:rsid w:val="00682309"/>
    <w:rsid w:val="006824BB"/>
    <w:rsid w:val="00690EEA"/>
    <w:rsid w:val="00693493"/>
    <w:rsid w:val="006A1798"/>
    <w:rsid w:val="006B05E1"/>
    <w:rsid w:val="006C0F35"/>
    <w:rsid w:val="006D34FE"/>
    <w:rsid w:val="006D7064"/>
    <w:rsid w:val="006E4A43"/>
    <w:rsid w:val="006E6E0F"/>
    <w:rsid w:val="00700789"/>
    <w:rsid w:val="00702A56"/>
    <w:rsid w:val="00703FE0"/>
    <w:rsid w:val="0070579C"/>
    <w:rsid w:val="00715A43"/>
    <w:rsid w:val="00720798"/>
    <w:rsid w:val="00721922"/>
    <w:rsid w:val="007255A6"/>
    <w:rsid w:val="00725899"/>
    <w:rsid w:val="007262F2"/>
    <w:rsid w:val="007363A8"/>
    <w:rsid w:val="00744A6F"/>
    <w:rsid w:val="00746260"/>
    <w:rsid w:val="0075126D"/>
    <w:rsid w:val="00751CBE"/>
    <w:rsid w:val="00752058"/>
    <w:rsid w:val="007530CD"/>
    <w:rsid w:val="00755BF6"/>
    <w:rsid w:val="00757A5D"/>
    <w:rsid w:val="00760921"/>
    <w:rsid w:val="007721C1"/>
    <w:rsid w:val="007834E3"/>
    <w:rsid w:val="00783FE0"/>
    <w:rsid w:val="007869F4"/>
    <w:rsid w:val="00786E2A"/>
    <w:rsid w:val="007907C0"/>
    <w:rsid w:val="0079778D"/>
    <w:rsid w:val="007B0420"/>
    <w:rsid w:val="007B1B07"/>
    <w:rsid w:val="007B500B"/>
    <w:rsid w:val="007B6B61"/>
    <w:rsid w:val="007C3374"/>
    <w:rsid w:val="007F0B19"/>
    <w:rsid w:val="007F543E"/>
    <w:rsid w:val="00801D9C"/>
    <w:rsid w:val="00802D5F"/>
    <w:rsid w:val="0080312E"/>
    <w:rsid w:val="00803F44"/>
    <w:rsid w:val="008052A0"/>
    <w:rsid w:val="00807C07"/>
    <w:rsid w:val="00807CE3"/>
    <w:rsid w:val="00810075"/>
    <w:rsid w:val="00814DC9"/>
    <w:rsid w:val="00825F8B"/>
    <w:rsid w:val="0082663B"/>
    <w:rsid w:val="008311B5"/>
    <w:rsid w:val="0083199A"/>
    <w:rsid w:val="0083385D"/>
    <w:rsid w:val="008372C2"/>
    <w:rsid w:val="00841608"/>
    <w:rsid w:val="00844C94"/>
    <w:rsid w:val="00845A8F"/>
    <w:rsid w:val="0085412F"/>
    <w:rsid w:val="00855325"/>
    <w:rsid w:val="008564AD"/>
    <w:rsid w:val="00865178"/>
    <w:rsid w:val="00865A6F"/>
    <w:rsid w:val="00870E0B"/>
    <w:rsid w:val="0087190C"/>
    <w:rsid w:val="008739E3"/>
    <w:rsid w:val="008771F0"/>
    <w:rsid w:val="008813B9"/>
    <w:rsid w:val="008902BA"/>
    <w:rsid w:val="0089517A"/>
    <w:rsid w:val="008A03BD"/>
    <w:rsid w:val="008A3276"/>
    <w:rsid w:val="008B4C54"/>
    <w:rsid w:val="008C1FC3"/>
    <w:rsid w:val="008C4945"/>
    <w:rsid w:val="008C780F"/>
    <w:rsid w:val="008D1037"/>
    <w:rsid w:val="008D2CC3"/>
    <w:rsid w:val="008D525D"/>
    <w:rsid w:val="008E18E4"/>
    <w:rsid w:val="008E652F"/>
    <w:rsid w:val="0090596A"/>
    <w:rsid w:val="00915206"/>
    <w:rsid w:val="0091715B"/>
    <w:rsid w:val="00924E0D"/>
    <w:rsid w:val="0092554B"/>
    <w:rsid w:val="00925C27"/>
    <w:rsid w:val="00927160"/>
    <w:rsid w:val="00930A8F"/>
    <w:rsid w:val="009325F9"/>
    <w:rsid w:val="009332E2"/>
    <w:rsid w:val="00933A84"/>
    <w:rsid w:val="0093554E"/>
    <w:rsid w:val="009402F2"/>
    <w:rsid w:val="00943C1A"/>
    <w:rsid w:val="0095122E"/>
    <w:rsid w:val="00951362"/>
    <w:rsid w:val="00953879"/>
    <w:rsid w:val="00955553"/>
    <w:rsid w:val="0095711B"/>
    <w:rsid w:val="00962252"/>
    <w:rsid w:val="009677AD"/>
    <w:rsid w:val="00970799"/>
    <w:rsid w:val="00970DD1"/>
    <w:rsid w:val="00990DBC"/>
    <w:rsid w:val="009938D2"/>
    <w:rsid w:val="00994B24"/>
    <w:rsid w:val="009A20DD"/>
    <w:rsid w:val="009A2D1B"/>
    <w:rsid w:val="009A61C9"/>
    <w:rsid w:val="009B0821"/>
    <w:rsid w:val="009B3DB0"/>
    <w:rsid w:val="009B5D8D"/>
    <w:rsid w:val="009C0286"/>
    <w:rsid w:val="009C1E74"/>
    <w:rsid w:val="009C4F8F"/>
    <w:rsid w:val="009C5C06"/>
    <w:rsid w:val="009C5EA9"/>
    <w:rsid w:val="009C7CAD"/>
    <w:rsid w:val="009D0331"/>
    <w:rsid w:val="009D2782"/>
    <w:rsid w:val="009D4750"/>
    <w:rsid w:val="009D47A1"/>
    <w:rsid w:val="009D4DE6"/>
    <w:rsid w:val="009D73A8"/>
    <w:rsid w:val="009E1945"/>
    <w:rsid w:val="009E4735"/>
    <w:rsid w:val="009E5B7A"/>
    <w:rsid w:val="009E5FDF"/>
    <w:rsid w:val="009F1441"/>
    <w:rsid w:val="009F33FF"/>
    <w:rsid w:val="009F3CA2"/>
    <w:rsid w:val="009F49FD"/>
    <w:rsid w:val="009F589B"/>
    <w:rsid w:val="009F705D"/>
    <w:rsid w:val="00A0625F"/>
    <w:rsid w:val="00A067E6"/>
    <w:rsid w:val="00A071CC"/>
    <w:rsid w:val="00A07BE2"/>
    <w:rsid w:val="00A10CD5"/>
    <w:rsid w:val="00A12C27"/>
    <w:rsid w:val="00A13EE1"/>
    <w:rsid w:val="00A20379"/>
    <w:rsid w:val="00A20C33"/>
    <w:rsid w:val="00A24189"/>
    <w:rsid w:val="00A2474F"/>
    <w:rsid w:val="00A24E0E"/>
    <w:rsid w:val="00A27CFE"/>
    <w:rsid w:val="00A3058E"/>
    <w:rsid w:val="00A315AD"/>
    <w:rsid w:val="00A3323A"/>
    <w:rsid w:val="00A357F7"/>
    <w:rsid w:val="00A3678C"/>
    <w:rsid w:val="00A3789C"/>
    <w:rsid w:val="00A37C9C"/>
    <w:rsid w:val="00A45DF0"/>
    <w:rsid w:val="00A51593"/>
    <w:rsid w:val="00A530F6"/>
    <w:rsid w:val="00A54370"/>
    <w:rsid w:val="00A57185"/>
    <w:rsid w:val="00A57F3B"/>
    <w:rsid w:val="00A60949"/>
    <w:rsid w:val="00A662E4"/>
    <w:rsid w:val="00A773E8"/>
    <w:rsid w:val="00A81D0E"/>
    <w:rsid w:val="00A8462C"/>
    <w:rsid w:val="00A876E7"/>
    <w:rsid w:val="00A944F8"/>
    <w:rsid w:val="00A9508E"/>
    <w:rsid w:val="00A96B58"/>
    <w:rsid w:val="00AA4E8C"/>
    <w:rsid w:val="00AC07CF"/>
    <w:rsid w:val="00AC081B"/>
    <w:rsid w:val="00AC5542"/>
    <w:rsid w:val="00AC64BD"/>
    <w:rsid w:val="00AC7C95"/>
    <w:rsid w:val="00AD3653"/>
    <w:rsid w:val="00AD3845"/>
    <w:rsid w:val="00AD6B70"/>
    <w:rsid w:val="00AD6E7D"/>
    <w:rsid w:val="00AF287E"/>
    <w:rsid w:val="00AF2F55"/>
    <w:rsid w:val="00AF5C75"/>
    <w:rsid w:val="00B00FD6"/>
    <w:rsid w:val="00B03E1E"/>
    <w:rsid w:val="00B07D92"/>
    <w:rsid w:val="00B1113D"/>
    <w:rsid w:val="00B119DB"/>
    <w:rsid w:val="00B13125"/>
    <w:rsid w:val="00B15326"/>
    <w:rsid w:val="00B2200E"/>
    <w:rsid w:val="00B240E6"/>
    <w:rsid w:val="00B24120"/>
    <w:rsid w:val="00B24731"/>
    <w:rsid w:val="00B25E35"/>
    <w:rsid w:val="00B26A45"/>
    <w:rsid w:val="00B26D13"/>
    <w:rsid w:val="00B26E98"/>
    <w:rsid w:val="00B307EC"/>
    <w:rsid w:val="00B347ED"/>
    <w:rsid w:val="00B35813"/>
    <w:rsid w:val="00B36758"/>
    <w:rsid w:val="00B55231"/>
    <w:rsid w:val="00B60C91"/>
    <w:rsid w:val="00B631A2"/>
    <w:rsid w:val="00B65DBF"/>
    <w:rsid w:val="00B71F2B"/>
    <w:rsid w:val="00B776F5"/>
    <w:rsid w:val="00B8017B"/>
    <w:rsid w:val="00B811D8"/>
    <w:rsid w:val="00B812BA"/>
    <w:rsid w:val="00B83CCE"/>
    <w:rsid w:val="00B87C8A"/>
    <w:rsid w:val="00B90FDE"/>
    <w:rsid w:val="00B95E6F"/>
    <w:rsid w:val="00BA2115"/>
    <w:rsid w:val="00BB1C39"/>
    <w:rsid w:val="00BB2778"/>
    <w:rsid w:val="00BB5BAB"/>
    <w:rsid w:val="00BB612A"/>
    <w:rsid w:val="00BB781D"/>
    <w:rsid w:val="00BC0237"/>
    <w:rsid w:val="00BC1A4E"/>
    <w:rsid w:val="00BC2066"/>
    <w:rsid w:val="00BD525C"/>
    <w:rsid w:val="00BE53ED"/>
    <w:rsid w:val="00BE7549"/>
    <w:rsid w:val="00C1501F"/>
    <w:rsid w:val="00C31ACD"/>
    <w:rsid w:val="00C33401"/>
    <w:rsid w:val="00C3492D"/>
    <w:rsid w:val="00C362CE"/>
    <w:rsid w:val="00C36351"/>
    <w:rsid w:val="00C36D62"/>
    <w:rsid w:val="00C36F89"/>
    <w:rsid w:val="00C4070C"/>
    <w:rsid w:val="00C43E24"/>
    <w:rsid w:val="00C44C30"/>
    <w:rsid w:val="00C51AE8"/>
    <w:rsid w:val="00C552C2"/>
    <w:rsid w:val="00C571D0"/>
    <w:rsid w:val="00C5730B"/>
    <w:rsid w:val="00C61D7F"/>
    <w:rsid w:val="00C65C69"/>
    <w:rsid w:val="00C70C8B"/>
    <w:rsid w:val="00C745F8"/>
    <w:rsid w:val="00C74904"/>
    <w:rsid w:val="00C75676"/>
    <w:rsid w:val="00C84D54"/>
    <w:rsid w:val="00C91583"/>
    <w:rsid w:val="00C920DB"/>
    <w:rsid w:val="00C96B24"/>
    <w:rsid w:val="00CB13B6"/>
    <w:rsid w:val="00CB32B1"/>
    <w:rsid w:val="00CC4CF8"/>
    <w:rsid w:val="00CC610D"/>
    <w:rsid w:val="00CC6886"/>
    <w:rsid w:val="00CD109E"/>
    <w:rsid w:val="00CD3E04"/>
    <w:rsid w:val="00CD3FAA"/>
    <w:rsid w:val="00CE0C16"/>
    <w:rsid w:val="00CE3E03"/>
    <w:rsid w:val="00CE7C16"/>
    <w:rsid w:val="00CF2016"/>
    <w:rsid w:val="00D00206"/>
    <w:rsid w:val="00D01324"/>
    <w:rsid w:val="00D02ED5"/>
    <w:rsid w:val="00D043B2"/>
    <w:rsid w:val="00D07EB4"/>
    <w:rsid w:val="00D1269C"/>
    <w:rsid w:val="00D137DF"/>
    <w:rsid w:val="00D200F9"/>
    <w:rsid w:val="00D214BA"/>
    <w:rsid w:val="00D22786"/>
    <w:rsid w:val="00D2491C"/>
    <w:rsid w:val="00D308FF"/>
    <w:rsid w:val="00D33AA7"/>
    <w:rsid w:val="00D46764"/>
    <w:rsid w:val="00D522C2"/>
    <w:rsid w:val="00D55EA9"/>
    <w:rsid w:val="00D60A06"/>
    <w:rsid w:val="00D815CC"/>
    <w:rsid w:val="00D84B54"/>
    <w:rsid w:val="00D95606"/>
    <w:rsid w:val="00DA1D8E"/>
    <w:rsid w:val="00DA5715"/>
    <w:rsid w:val="00DA682A"/>
    <w:rsid w:val="00DA6C52"/>
    <w:rsid w:val="00DB1199"/>
    <w:rsid w:val="00DB3937"/>
    <w:rsid w:val="00DC1001"/>
    <w:rsid w:val="00DC1E68"/>
    <w:rsid w:val="00DC5688"/>
    <w:rsid w:val="00DD0707"/>
    <w:rsid w:val="00DD3115"/>
    <w:rsid w:val="00DD3E01"/>
    <w:rsid w:val="00DD51A2"/>
    <w:rsid w:val="00DD5ABE"/>
    <w:rsid w:val="00DE2731"/>
    <w:rsid w:val="00DF475D"/>
    <w:rsid w:val="00DF650E"/>
    <w:rsid w:val="00E165B8"/>
    <w:rsid w:val="00E20B88"/>
    <w:rsid w:val="00E20BCE"/>
    <w:rsid w:val="00E20EBD"/>
    <w:rsid w:val="00E31A75"/>
    <w:rsid w:val="00E31AEC"/>
    <w:rsid w:val="00E329FC"/>
    <w:rsid w:val="00E33368"/>
    <w:rsid w:val="00E35334"/>
    <w:rsid w:val="00E40AE6"/>
    <w:rsid w:val="00E4189F"/>
    <w:rsid w:val="00E47B45"/>
    <w:rsid w:val="00E52408"/>
    <w:rsid w:val="00E5259A"/>
    <w:rsid w:val="00E54BAD"/>
    <w:rsid w:val="00E65098"/>
    <w:rsid w:val="00E6675A"/>
    <w:rsid w:val="00E702E9"/>
    <w:rsid w:val="00E748C3"/>
    <w:rsid w:val="00E74D1B"/>
    <w:rsid w:val="00E75CB3"/>
    <w:rsid w:val="00E82ADA"/>
    <w:rsid w:val="00E83219"/>
    <w:rsid w:val="00E8560F"/>
    <w:rsid w:val="00E85756"/>
    <w:rsid w:val="00E85797"/>
    <w:rsid w:val="00E872C9"/>
    <w:rsid w:val="00E909E2"/>
    <w:rsid w:val="00E93186"/>
    <w:rsid w:val="00E97771"/>
    <w:rsid w:val="00EA3919"/>
    <w:rsid w:val="00EB38A9"/>
    <w:rsid w:val="00EB435F"/>
    <w:rsid w:val="00EB5DC4"/>
    <w:rsid w:val="00EB651A"/>
    <w:rsid w:val="00EC4075"/>
    <w:rsid w:val="00EC44A7"/>
    <w:rsid w:val="00EC6CAF"/>
    <w:rsid w:val="00ED361D"/>
    <w:rsid w:val="00ED3650"/>
    <w:rsid w:val="00ED4732"/>
    <w:rsid w:val="00ED70D1"/>
    <w:rsid w:val="00EE0122"/>
    <w:rsid w:val="00EE0BAD"/>
    <w:rsid w:val="00EE133C"/>
    <w:rsid w:val="00EE7001"/>
    <w:rsid w:val="00EE7E8E"/>
    <w:rsid w:val="00EF33BA"/>
    <w:rsid w:val="00EF41CE"/>
    <w:rsid w:val="00EF5138"/>
    <w:rsid w:val="00F02F91"/>
    <w:rsid w:val="00F163D4"/>
    <w:rsid w:val="00F16677"/>
    <w:rsid w:val="00F20B47"/>
    <w:rsid w:val="00F25AC2"/>
    <w:rsid w:val="00F2707B"/>
    <w:rsid w:val="00F43B56"/>
    <w:rsid w:val="00F455F8"/>
    <w:rsid w:val="00F45E82"/>
    <w:rsid w:val="00F464B2"/>
    <w:rsid w:val="00F47610"/>
    <w:rsid w:val="00F55292"/>
    <w:rsid w:val="00F569BD"/>
    <w:rsid w:val="00F60027"/>
    <w:rsid w:val="00F62271"/>
    <w:rsid w:val="00F6363D"/>
    <w:rsid w:val="00F6417E"/>
    <w:rsid w:val="00F70187"/>
    <w:rsid w:val="00F7081C"/>
    <w:rsid w:val="00F72899"/>
    <w:rsid w:val="00F72F2F"/>
    <w:rsid w:val="00F7391D"/>
    <w:rsid w:val="00F743F9"/>
    <w:rsid w:val="00F91BC2"/>
    <w:rsid w:val="00FA40C9"/>
    <w:rsid w:val="00FA68F0"/>
    <w:rsid w:val="00FA6C11"/>
    <w:rsid w:val="00FB1FF5"/>
    <w:rsid w:val="00FB3998"/>
    <w:rsid w:val="00FB47EF"/>
    <w:rsid w:val="00FC27E3"/>
    <w:rsid w:val="00FC4631"/>
    <w:rsid w:val="00FC58FB"/>
    <w:rsid w:val="00FD6669"/>
    <w:rsid w:val="00FD7CF6"/>
    <w:rsid w:val="00FE1119"/>
    <w:rsid w:val="00FE1499"/>
    <w:rsid w:val="00FE2CE6"/>
    <w:rsid w:val="00FE43C7"/>
    <w:rsid w:val="00FE6607"/>
    <w:rsid w:val="00FF0E64"/>
    <w:rsid w:val="00FF1250"/>
    <w:rsid w:val="00FF3B33"/>
    <w:rsid w:val="00FF5A10"/>
    <w:rsid w:val="0AE05905"/>
    <w:rsid w:val="0FBA85EA"/>
    <w:rsid w:val="10AE3A21"/>
    <w:rsid w:val="1D115EBA"/>
    <w:rsid w:val="2298E280"/>
    <w:rsid w:val="26B9D784"/>
    <w:rsid w:val="27DF31B5"/>
    <w:rsid w:val="29BD502F"/>
    <w:rsid w:val="2F269F64"/>
    <w:rsid w:val="3A232535"/>
    <w:rsid w:val="3FAE832B"/>
    <w:rsid w:val="422EE225"/>
    <w:rsid w:val="4252552F"/>
    <w:rsid w:val="45FE54BE"/>
    <w:rsid w:val="49375F9D"/>
    <w:rsid w:val="52C2ED10"/>
    <w:rsid w:val="54260729"/>
    <w:rsid w:val="55C9E93D"/>
    <w:rsid w:val="55F4D703"/>
    <w:rsid w:val="604B5B49"/>
    <w:rsid w:val="654A1C9E"/>
    <w:rsid w:val="6DCFC8F5"/>
    <w:rsid w:val="7003F88A"/>
    <w:rsid w:val="712584EA"/>
    <w:rsid w:val="73D5AFF6"/>
    <w:rsid w:val="7AD63665"/>
    <w:rsid w:val="7B17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AB1B4"/>
  <w15:docId w15:val="{DFD12677-2EE8-4C56-88F0-569BB42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5711B"/>
    <w:pPr>
      <w:ind w:left="720"/>
      <w:contextualSpacing/>
    </w:pPr>
  </w:style>
  <w:style w:type="paragraph" w:styleId="Encabezado">
    <w:name w:val="header"/>
    <w:basedOn w:val="Normal"/>
    <w:link w:val="EncabezadoCar"/>
    <w:uiPriority w:val="99"/>
    <w:unhideWhenUsed/>
    <w:rsid w:val="0095711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711B"/>
  </w:style>
  <w:style w:type="paragraph" w:styleId="Piedepgina">
    <w:name w:val="footer"/>
    <w:basedOn w:val="Normal"/>
    <w:link w:val="PiedepginaCar"/>
    <w:uiPriority w:val="99"/>
    <w:unhideWhenUsed/>
    <w:rsid w:val="0095711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711B"/>
  </w:style>
  <w:style w:type="paragraph" w:styleId="Textodeglobo">
    <w:name w:val="Balloon Text"/>
    <w:basedOn w:val="Normal"/>
    <w:link w:val="TextodegloboCar"/>
    <w:uiPriority w:val="99"/>
    <w:semiHidden/>
    <w:unhideWhenUsed/>
    <w:rsid w:val="00A10C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CD5"/>
    <w:rPr>
      <w:rFonts w:ascii="Tahoma" w:hAnsi="Tahoma" w:cs="Tahoma"/>
      <w:sz w:val="16"/>
      <w:szCs w:val="16"/>
    </w:rPr>
  </w:style>
  <w:style w:type="character" w:styleId="Refdecomentario">
    <w:name w:val="annotation reference"/>
    <w:basedOn w:val="Fuentedeprrafopredeter"/>
    <w:uiPriority w:val="99"/>
    <w:semiHidden/>
    <w:unhideWhenUsed/>
    <w:rsid w:val="00A13EE1"/>
    <w:rPr>
      <w:sz w:val="16"/>
      <w:szCs w:val="16"/>
    </w:rPr>
  </w:style>
  <w:style w:type="paragraph" w:styleId="Textocomentario">
    <w:name w:val="annotation text"/>
    <w:basedOn w:val="Normal"/>
    <w:link w:val="TextocomentarioCar"/>
    <w:uiPriority w:val="99"/>
    <w:unhideWhenUsed/>
    <w:rsid w:val="00A13EE1"/>
    <w:pPr>
      <w:spacing w:line="240" w:lineRule="auto"/>
    </w:pPr>
    <w:rPr>
      <w:sz w:val="20"/>
      <w:szCs w:val="20"/>
    </w:rPr>
  </w:style>
  <w:style w:type="character" w:customStyle="1" w:styleId="TextocomentarioCar">
    <w:name w:val="Texto comentario Car"/>
    <w:basedOn w:val="Fuentedeprrafopredeter"/>
    <w:link w:val="Textocomentario"/>
    <w:uiPriority w:val="99"/>
    <w:rsid w:val="00A13EE1"/>
    <w:rPr>
      <w:sz w:val="20"/>
      <w:szCs w:val="20"/>
    </w:rPr>
  </w:style>
  <w:style w:type="paragraph" w:styleId="Asuntodelcomentario">
    <w:name w:val="annotation subject"/>
    <w:basedOn w:val="Textocomentario"/>
    <w:next w:val="Textocomentario"/>
    <w:link w:val="AsuntodelcomentarioCar"/>
    <w:uiPriority w:val="99"/>
    <w:semiHidden/>
    <w:unhideWhenUsed/>
    <w:rsid w:val="00A13EE1"/>
    <w:rPr>
      <w:b/>
      <w:bCs/>
    </w:rPr>
  </w:style>
  <w:style w:type="character" w:customStyle="1" w:styleId="AsuntodelcomentarioCar">
    <w:name w:val="Asunto del comentario Car"/>
    <w:basedOn w:val="TextocomentarioCar"/>
    <w:link w:val="Asuntodelcomentario"/>
    <w:uiPriority w:val="99"/>
    <w:semiHidden/>
    <w:rsid w:val="00A13EE1"/>
    <w:rPr>
      <w:b/>
      <w:bCs/>
      <w:sz w:val="20"/>
      <w:szCs w:val="20"/>
    </w:rPr>
  </w:style>
  <w:style w:type="paragraph" w:styleId="Revisin">
    <w:name w:val="Revision"/>
    <w:hidden/>
    <w:uiPriority w:val="99"/>
    <w:semiHidden/>
    <w:rsid w:val="00A13EE1"/>
    <w:pPr>
      <w:spacing w:after="0" w:line="240" w:lineRule="auto"/>
    </w:pPr>
  </w:style>
  <w:style w:type="table" w:styleId="Tablaconcuadrcula">
    <w:name w:val="Table Grid"/>
    <w:basedOn w:val="Tablanormal"/>
    <w:uiPriority w:val="59"/>
    <w:rsid w:val="00F6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7C16"/>
    <w:rPr>
      <w:color w:val="808080"/>
    </w:rPr>
  </w:style>
  <w:style w:type="character" w:customStyle="1" w:styleId="PrrafodelistaCar">
    <w:name w:val="Párrafo de lista Car"/>
    <w:basedOn w:val="Fuentedeprrafopredeter"/>
    <w:link w:val="Prrafodelista"/>
    <w:uiPriority w:val="34"/>
    <w:locked/>
    <w:rsid w:val="00682309"/>
  </w:style>
  <w:style w:type="paragraph" w:styleId="Textonotapie">
    <w:name w:val="footnote text"/>
    <w:basedOn w:val="Normal"/>
    <w:link w:val="TextonotapieCar"/>
    <w:uiPriority w:val="99"/>
    <w:semiHidden/>
    <w:unhideWhenUsed/>
    <w:rsid w:val="00392E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2E58"/>
    <w:rPr>
      <w:sz w:val="20"/>
      <w:szCs w:val="20"/>
    </w:rPr>
  </w:style>
  <w:style w:type="character" w:styleId="Refdenotaalpie">
    <w:name w:val="footnote reference"/>
    <w:basedOn w:val="Fuentedeprrafopredeter"/>
    <w:uiPriority w:val="99"/>
    <w:semiHidden/>
    <w:unhideWhenUsed/>
    <w:rsid w:val="00392E58"/>
    <w:rPr>
      <w:vertAlign w:val="superscript"/>
    </w:rPr>
  </w:style>
  <w:style w:type="table" w:customStyle="1" w:styleId="1">
    <w:name w:val="1"/>
    <w:basedOn w:val="Tablanormal"/>
    <w:rsid w:val="00E47B45"/>
    <w:pPr>
      <w:spacing w:after="160" w:line="259" w:lineRule="auto"/>
    </w:pPr>
    <w:rPr>
      <w:rFonts w:ascii="Aptos" w:eastAsia="Aptos" w:hAnsi="Aptos" w:cs="Aptos"/>
    </w:rPr>
    <w:tblPr>
      <w:tblStyleRowBandSize w:val="1"/>
      <w:tblStyleColBandSize w:val="1"/>
      <w:tblInd w:w="0" w:type="nil"/>
      <w:tblCellMar>
        <w:left w:w="0" w:type="dxa"/>
        <w:right w:w="0" w:type="dxa"/>
      </w:tblCellMar>
    </w:tblPr>
  </w:style>
  <w:style w:type="character" w:styleId="Hipervnculo">
    <w:name w:val="Hyperlink"/>
    <w:basedOn w:val="Fuentedeprrafopredeter"/>
    <w:uiPriority w:val="99"/>
    <w:unhideWhenUsed/>
    <w:rsid w:val="0040053A"/>
    <w:rPr>
      <w:color w:val="0000FF" w:themeColor="hyperlink"/>
      <w:u w:val="single"/>
    </w:rPr>
  </w:style>
  <w:style w:type="character" w:styleId="Mencinsinresolver">
    <w:name w:val="Unresolved Mention"/>
    <w:basedOn w:val="Fuentedeprrafopredeter"/>
    <w:uiPriority w:val="99"/>
    <w:semiHidden/>
    <w:unhideWhenUsed/>
    <w:rsid w:val="00400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11190">
      <w:bodyDiv w:val="1"/>
      <w:marLeft w:val="0"/>
      <w:marRight w:val="0"/>
      <w:marTop w:val="0"/>
      <w:marBottom w:val="0"/>
      <w:divBdr>
        <w:top w:val="none" w:sz="0" w:space="0" w:color="auto"/>
        <w:left w:val="none" w:sz="0" w:space="0" w:color="auto"/>
        <w:bottom w:val="none" w:sz="0" w:space="0" w:color="auto"/>
        <w:right w:val="none" w:sz="0" w:space="0" w:color="auto"/>
      </w:divBdr>
    </w:div>
    <w:div w:id="204024229">
      <w:bodyDiv w:val="1"/>
      <w:marLeft w:val="0"/>
      <w:marRight w:val="0"/>
      <w:marTop w:val="0"/>
      <w:marBottom w:val="0"/>
      <w:divBdr>
        <w:top w:val="none" w:sz="0" w:space="0" w:color="auto"/>
        <w:left w:val="none" w:sz="0" w:space="0" w:color="auto"/>
        <w:bottom w:val="none" w:sz="0" w:space="0" w:color="auto"/>
        <w:right w:val="none" w:sz="0" w:space="0" w:color="auto"/>
      </w:divBdr>
    </w:div>
    <w:div w:id="250627084">
      <w:bodyDiv w:val="1"/>
      <w:marLeft w:val="0"/>
      <w:marRight w:val="0"/>
      <w:marTop w:val="0"/>
      <w:marBottom w:val="0"/>
      <w:divBdr>
        <w:top w:val="none" w:sz="0" w:space="0" w:color="auto"/>
        <w:left w:val="none" w:sz="0" w:space="0" w:color="auto"/>
        <w:bottom w:val="none" w:sz="0" w:space="0" w:color="auto"/>
        <w:right w:val="none" w:sz="0" w:space="0" w:color="auto"/>
      </w:divBdr>
    </w:div>
    <w:div w:id="335614464">
      <w:bodyDiv w:val="1"/>
      <w:marLeft w:val="0"/>
      <w:marRight w:val="0"/>
      <w:marTop w:val="0"/>
      <w:marBottom w:val="0"/>
      <w:divBdr>
        <w:top w:val="none" w:sz="0" w:space="0" w:color="auto"/>
        <w:left w:val="none" w:sz="0" w:space="0" w:color="auto"/>
        <w:bottom w:val="none" w:sz="0" w:space="0" w:color="auto"/>
        <w:right w:val="none" w:sz="0" w:space="0" w:color="auto"/>
      </w:divBdr>
    </w:div>
    <w:div w:id="590699546">
      <w:bodyDiv w:val="1"/>
      <w:marLeft w:val="0"/>
      <w:marRight w:val="0"/>
      <w:marTop w:val="0"/>
      <w:marBottom w:val="0"/>
      <w:divBdr>
        <w:top w:val="none" w:sz="0" w:space="0" w:color="auto"/>
        <w:left w:val="none" w:sz="0" w:space="0" w:color="auto"/>
        <w:bottom w:val="none" w:sz="0" w:space="0" w:color="auto"/>
        <w:right w:val="none" w:sz="0" w:space="0" w:color="auto"/>
      </w:divBdr>
    </w:div>
    <w:div w:id="703797802">
      <w:bodyDiv w:val="1"/>
      <w:marLeft w:val="0"/>
      <w:marRight w:val="0"/>
      <w:marTop w:val="0"/>
      <w:marBottom w:val="0"/>
      <w:divBdr>
        <w:top w:val="none" w:sz="0" w:space="0" w:color="auto"/>
        <w:left w:val="none" w:sz="0" w:space="0" w:color="auto"/>
        <w:bottom w:val="none" w:sz="0" w:space="0" w:color="auto"/>
        <w:right w:val="none" w:sz="0" w:space="0" w:color="auto"/>
      </w:divBdr>
    </w:div>
    <w:div w:id="764376958">
      <w:bodyDiv w:val="1"/>
      <w:marLeft w:val="0"/>
      <w:marRight w:val="0"/>
      <w:marTop w:val="0"/>
      <w:marBottom w:val="0"/>
      <w:divBdr>
        <w:top w:val="none" w:sz="0" w:space="0" w:color="auto"/>
        <w:left w:val="none" w:sz="0" w:space="0" w:color="auto"/>
        <w:bottom w:val="none" w:sz="0" w:space="0" w:color="auto"/>
        <w:right w:val="none" w:sz="0" w:space="0" w:color="auto"/>
      </w:divBdr>
    </w:div>
    <w:div w:id="1230309962">
      <w:bodyDiv w:val="1"/>
      <w:marLeft w:val="0"/>
      <w:marRight w:val="0"/>
      <w:marTop w:val="0"/>
      <w:marBottom w:val="0"/>
      <w:divBdr>
        <w:top w:val="none" w:sz="0" w:space="0" w:color="auto"/>
        <w:left w:val="none" w:sz="0" w:space="0" w:color="auto"/>
        <w:bottom w:val="none" w:sz="0" w:space="0" w:color="auto"/>
        <w:right w:val="none" w:sz="0" w:space="0" w:color="auto"/>
      </w:divBdr>
    </w:div>
    <w:div w:id="1264922314">
      <w:bodyDiv w:val="1"/>
      <w:marLeft w:val="0"/>
      <w:marRight w:val="0"/>
      <w:marTop w:val="0"/>
      <w:marBottom w:val="0"/>
      <w:divBdr>
        <w:top w:val="none" w:sz="0" w:space="0" w:color="auto"/>
        <w:left w:val="none" w:sz="0" w:space="0" w:color="auto"/>
        <w:bottom w:val="none" w:sz="0" w:space="0" w:color="auto"/>
        <w:right w:val="none" w:sz="0" w:space="0" w:color="auto"/>
      </w:divBdr>
    </w:div>
    <w:div w:id="1535272670">
      <w:bodyDiv w:val="1"/>
      <w:marLeft w:val="0"/>
      <w:marRight w:val="0"/>
      <w:marTop w:val="0"/>
      <w:marBottom w:val="0"/>
      <w:divBdr>
        <w:top w:val="none" w:sz="0" w:space="0" w:color="auto"/>
        <w:left w:val="none" w:sz="0" w:space="0" w:color="auto"/>
        <w:bottom w:val="none" w:sz="0" w:space="0" w:color="auto"/>
        <w:right w:val="none" w:sz="0" w:space="0" w:color="auto"/>
      </w:divBdr>
    </w:div>
    <w:div w:id="1702045574">
      <w:bodyDiv w:val="1"/>
      <w:marLeft w:val="0"/>
      <w:marRight w:val="0"/>
      <w:marTop w:val="0"/>
      <w:marBottom w:val="0"/>
      <w:divBdr>
        <w:top w:val="none" w:sz="0" w:space="0" w:color="auto"/>
        <w:left w:val="none" w:sz="0" w:space="0" w:color="auto"/>
        <w:bottom w:val="none" w:sz="0" w:space="0" w:color="auto"/>
        <w:right w:val="none" w:sz="0" w:space="0" w:color="auto"/>
      </w:divBdr>
    </w:div>
    <w:div w:id="1727098679">
      <w:bodyDiv w:val="1"/>
      <w:marLeft w:val="0"/>
      <w:marRight w:val="0"/>
      <w:marTop w:val="0"/>
      <w:marBottom w:val="0"/>
      <w:divBdr>
        <w:top w:val="none" w:sz="0" w:space="0" w:color="auto"/>
        <w:left w:val="none" w:sz="0" w:space="0" w:color="auto"/>
        <w:bottom w:val="none" w:sz="0" w:space="0" w:color="auto"/>
        <w:right w:val="none" w:sz="0" w:space="0" w:color="auto"/>
      </w:divBdr>
    </w:div>
    <w:div w:id="20484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onvergence.iadb.org/Operation/CO-T1457" TargetMode="External"/><Relationship Id="rId17" Type="http://schemas.openxmlformats.org/officeDocument/2006/relationships/theme" Target="theme/theme1.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codal.org.co/wop-colombia/" TargetMode="External"/><Relationship Id="rId2" Type="http://schemas.openxmlformats.org/officeDocument/2006/relationships/hyperlink" Target="https://aloas.org/institucional/Pages/Que-es-WOPLAC.aspx" TargetMode="External"/><Relationship Id="rId1" Type="http://schemas.openxmlformats.org/officeDocument/2006/relationships/hyperlink" Target="http://www.accionsectorialdelagu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C3A5DD6-1868-4740-B978-940926062DAA}"/>
      </w:docPartPr>
      <w:docPartBody>
        <w:p w:rsidR="00F24AFF" w:rsidRDefault="00561BFE">
          <w:r w:rsidRPr="00A2367E">
            <w:rPr>
              <w:rStyle w:val="Textodelmarcadordeposicin"/>
            </w:rPr>
            <w:t>Haga clic aquí para escribir texto.</w:t>
          </w:r>
        </w:p>
      </w:docPartBody>
    </w:docPart>
    <w:docPart>
      <w:docPartPr>
        <w:name w:val="1826176F614340649BFAC28C3B63B783"/>
        <w:category>
          <w:name w:val="General"/>
          <w:gallery w:val="placeholder"/>
        </w:category>
        <w:types>
          <w:type w:val="bbPlcHdr"/>
        </w:types>
        <w:behaviors>
          <w:behavior w:val="content"/>
        </w:behaviors>
        <w:guid w:val="{7E5C6E4E-46BB-4287-B4E1-2D54B186DF38}"/>
      </w:docPartPr>
      <w:docPartBody>
        <w:p w:rsidR="00142182" w:rsidRDefault="00B1113D" w:rsidP="00B1113D">
          <w:pPr>
            <w:pStyle w:val="1826176F614340649BFAC28C3B63B78317"/>
          </w:pPr>
          <w:r>
            <w:rPr>
              <w:rStyle w:val="Textodelmarcadordeposicin"/>
            </w:rPr>
            <w:t xml:space="preserve"> </w:t>
          </w:r>
        </w:p>
      </w:docPartBody>
    </w:docPart>
    <w:docPart>
      <w:docPartPr>
        <w:name w:val="F21B320DC5CC4CA29D18953BBE653F77"/>
        <w:category>
          <w:name w:val="General"/>
          <w:gallery w:val="placeholder"/>
        </w:category>
        <w:types>
          <w:type w:val="bbPlcHdr"/>
        </w:types>
        <w:behaviors>
          <w:behavior w:val="content"/>
        </w:behaviors>
        <w:guid w:val="{EC2E5322-095A-4CC0-B8D4-1F55A65E614F}"/>
      </w:docPartPr>
      <w:docPartBody>
        <w:p w:rsidR="00906F30" w:rsidRDefault="009931B5" w:rsidP="009931B5">
          <w:pPr>
            <w:pStyle w:val="F21B320DC5CC4CA29D18953BBE653F77"/>
          </w:pPr>
          <w:r>
            <w:rPr>
              <w:rFonts w:ascii="Arial" w:hAnsi="Arial" w:cs="Arial"/>
              <w:sz w:val="18"/>
              <w:szCs w:val="18"/>
            </w:rPr>
            <w:t xml:space="preserve"> </w:t>
          </w:r>
        </w:p>
      </w:docPartBody>
    </w:docPart>
    <w:docPart>
      <w:docPartPr>
        <w:name w:val="467533B11B3842A885C4CE0AFBB936CB"/>
        <w:category>
          <w:name w:val="General"/>
          <w:gallery w:val="placeholder"/>
        </w:category>
        <w:types>
          <w:type w:val="bbPlcHdr"/>
        </w:types>
        <w:behaviors>
          <w:behavior w:val="content"/>
        </w:behaviors>
        <w:guid w:val="{F1F9CB4C-A853-45AE-A639-B87E31D66728}"/>
      </w:docPartPr>
      <w:docPartBody>
        <w:p w:rsidR="006A5A9B" w:rsidRDefault="00534ED1" w:rsidP="00534ED1">
          <w:pPr>
            <w:pStyle w:val="467533B11B3842A885C4CE0AFBB936CB"/>
          </w:pPr>
          <w:r>
            <w:rPr>
              <w:rStyle w:val="Textodelmarcadordeposicin"/>
            </w:rPr>
            <w:t xml:space="preserve"> </w:t>
          </w:r>
        </w:p>
      </w:docPartBody>
    </w:docPart>
    <w:docPart>
      <w:docPartPr>
        <w:name w:val="DFF8BD4D882A441F8845491D2D63C990"/>
        <w:category>
          <w:name w:val="General"/>
          <w:gallery w:val="placeholder"/>
        </w:category>
        <w:types>
          <w:type w:val="bbPlcHdr"/>
        </w:types>
        <w:behaviors>
          <w:behavior w:val="content"/>
        </w:behaviors>
        <w:guid w:val="{48C11D03-A4A4-4C47-9E20-E9F6FBF3D593}"/>
      </w:docPartPr>
      <w:docPartBody>
        <w:p w:rsidR="009931B5" w:rsidRPr="008311B5" w:rsidRDefault="009931B5" w:rsidP="008311B5">
          <w:pPr>
            <w:spacing w:after="60" w:line="240" w:lineRule="auto"/>
            <w:rPr>
              <w:rFonts w:ascii="Arial"/>
              <w:sz w:val="18"/>
            </w:rPr>
          </w:pPr>
          <w:r w:rsidRPr="008311B5">
            <w:rPr>
              <w:rFonts w:ascii="Arial"/>
              <w:sz w:val="18"/>
            </w:rPr>
            <w:t>Project Specific Contributions (PSC); US$2.508.000</w:t>
          </w:r>
        </w:p>
        <w:p w:rsidR="009931B5" w:rsidRPr="008311B5" w:rsidRDefault="009931B5" w:rsidP="008311B5">
          <w:pPr>
            <w:spacing w:after="60" w:line="240" w:lineRule="auto"/>
            <w:rPr>
              <w:rFonts w:ascii="Arial"/>
              <w:sz w:val="18"/>
            </w:rPr>
          </w:pPr>
          <w:r w:rsidRPr="008311B5">
            <w:rPr>
              <w:rFonts w:ascii="Arial"/>
              <w:sz w:val="18"/>
            </w:rPr>
            <w:t xml:space="preserve">Strategic Development Program Window 2 </w:t>
          </w:r>
          <w:r w:rsidRPr="008311B5">
            <w:rPr>
              <w:rFonts w:ascii="Arial"/>
              <w:sz w:val="18"/>
            </w:rPr>
            <w:t>–</w:t>
          </w:r>
          <w:r w:rsidRPr="008311B5">
            <w:rPr>
              <w:rFonts w:ascii="Arial"/>
              <w:sz w:val="18"/>
            </w:rPr>
            <w:t xml:space="preserve"> Sustainable Infrastructure (W2B): US$600.000</w:t>
          </w:r>
        </w:p>
        <w:p w:rsidR="009931B5" w:rsidRPr="008311B5" w:rsidRDefault="009931B5" w:rsidP="008311B5">
          <w:pPr>
            <w:spacing w:after="60" w:line="240" w:lineRule="auto"/>
            <w:rPr>
              <w:rFonts w:ascii="Arial"/>
              <w:sz w:val="18"/>
            </w:rPr>
          </w:pPr>
          <w:r w:rsidRPr="008311B5">
            <w:rPr>
              <w:rFonts w:ascii="Arial"/>
              <w:sz w:val="18"/>
            </w:rPr>
            <w:t xml:space="preserve">Total: US$3.108.000 </w:t>
          </w:r>
        </w:p>
        <w:p w:rsidR="00C55FF6" w:rsidRDefault="00C55FF6" w:rsidP="00F7328D">
          <w:pPr>
            <w:pStyle w:val="DFF8BD4D882A441F8845491D2D63C9901"/>
          </w:pPr>
        </w:p>
      </w:docPartBody>
    </w:docPart>
    <w:docPart>
      <w:docPartPr>
        <w:name w:val="B5025FA864254B32A998D1BB8022EDC4"/>
        <w:category>
          <w:name w:val="General"/>
          <w:gallery w:val="placeholder"/>
        </w:category>
        <w:types>
          <w:type w:val="bbPlcHdr"/>
        </w:types>
        <w:behaviors>
          <w:behavior w:val="content"/>
        </w:behaviors>
        <w:guid w:val="{9C6D4916-4A2A-4426-8C6A-74D6CC9446AE}"/>
      </w:docPartPr>
      <w:docPartBody>
        <w:p w:rsidR="00C55FF6" w:rsidRDefault="009931B5" w:rsidP="009931B5">
          <w:pPr>
            <w:pStyle w:val="B5025FA864254B32A998D1BB8022EDC4"/>
          </w:pPr>
          <w:r>
            <w:rPr>
              <w:rFonts w:ascii="Arial" w:hAnsi="Arial" w:cs="Arial"/>
              <w:sz w:val="18"/>
              <w:szCs w:val="18"/>
            </w:rPr>
            <w:t>INE/WSA-Water &amp; Sanitation</w:t>
          </w:r>
        </w:p>
      </w:docPartBody>
    </w:docPart>
    <w:docPart>
      <w:docPartPr>
        <w:name w:val="13B3AC0D3E9944F6A0BA112345EA50C9"/>
        <w:category>
          <w:name w:val="General"/>
          <w:gallery w:val="placeholder"/>
        </w:category>
        <w:types>
          <w:type w:val="bbPlcHdr"/>
        </w:types>
        <w:behaviors>
          <w:behavior w:val="content"/>
        </w:behaviors>
        <w:guid w:val="{5161EAA3-5371-4FA4-88B3-886F82214F86}"/>
      </w:docPartPr>
      <w:docPartBody>
        <w:p w:rsidR="00C55FF6" w:rsidRDefault="009931B5" w:rsidP="009931B5">
          <w:pPr>
            <w:pStyle w:val="13B3AC0D3E9944F6A0BA112345EA50C9"/>
          </w:pPr>
          <w:r>
            <w:rPr>
              <w:rFonts w:ascii="Arial" w:hAnsi="Arial" w:cs="Arial"/>
              <w:sz w:val="18"/>
              <w:szCs w:val="18"/>
            </w:rPr>
            <w:t>Client Support</w:t>
          </w:r>
        </w:p>
      </w:docPartBody>
    </w:docPart>
    <w:docPart>
      <w:docPartPr>
        <w:name w:val="7D3AEF0B751A447FB17ABAB7B569C791"/>
        <w:category>
          <w:name w:val="General"/>
          <w:gallery w:val="placeholder"/>
        </w:category>
        <w:types>
          <w:type w:val="bbPlcHdr"/>
        </w:types>
        <w:behaviors>
          <w:behavior w:val="content"/>
        </w:behaviors>
        <w:guid w:val="{B017267C-D040-40A9-9200-14B225C6C4AB}"/>
      </w:docPartPr>
      <w:docPartBody>
        <w:p w:rsidR="00C55FF6" w:rsidRDefault="009931B5" w:rsidP="009931B5">
          <w:pPr>
            <w:pStyle w:val="7D3AEF0B751A447FB17ABAB7B569C791"/>
          </w:pPr>
          <w:r>
            <w:rPr>
              <w:rFonts w:ascii="Arial" w:hAnsi="Arial" w:cs="Arial"/>
              <w:sz w:val="18"/>
              <w:szCs w:val="18"/>
            </w:rPr>
            <w:t>13 Aug 2024</w:t>
          </w:r>
        </w:p>
      </w:docPartBody>
    </w:docPart>
    <w:docPart>
      <w:docPartPr>
        <w:name w:val="FF4E946AA9D24613ACEFC195E8499DBF"/>
        <w:category>
          <w:name w:val="General"/>
          <w:gallery w:val="placeholder"/>
        </w:category>
        <w:types>
          <w:type w:val="bbPlcHdr"/>
        </w:types>
        <w:behaviors>
          <w:behavior w:val="content"/>
        </w:behaviors>
        <w:guid w:val="{DFC38D25-DB4A-4493-BA3A-4D8F99C25CE9}"/>
      </w:docPartPr>
      <w:docPartBody>
        <w:p w:rsidR="00C55FF6" w:rsidRDefault="009931B5" w:rsidP="009931B5">
          <w:pPr>
            <w:pStyle w:val="FF4E946AA9D24613ACEFC195E8499DBF"/>
          </w:pPr>
          <w:r>
            <w:rPr>
              <w:rFonts w:ascii="Arial" w:hAnsi="Arial" w:cs="Arial"/>
              <w:sz w:val="18"/>
              <w:szCs w:val="18"/>
            </w:rPr>
            <w:t>Consolidation of best corporate development practices in the water and sanitation sector in Colombia</w:t>
          </w:r>
        </w:p>
      </w:docPartBody>
    </w:docPart>
    <w:docPart>
      <w:docPartPr>
        <w:name w:val="4448204930944A64B2C249B7F2A3DD18"/>
        <w:category>
          <w:name w:val="General"/>
          <w:gallery w:val="placeholder"/>
        </w:category>
        <w:types>
          <w:type w:val="bbPlcHdr"/>
        </w:types>
        <w:behaviors>
          <w:behavior w:val="content"/>
        </w:behaviors>
        <w:guid w:val="{70B66CDE-F323-4853-9499-FF7C9825E9C7}"/>
      </w:docPartPr>
      <w:docPartBody>
        <w:p w:rsidR="00C55FF6" w:rsidRDefault="009931B5" w:rsidP="009931B5">
          <w:pPr>
            <w:pStyle w:val="4448204930944A64B2C249B7F2A3DD18"/>
          </w:pPr>
          <w:r>
            <w:rPr>
              <w:rFonts w:ascii="Arial" w:hAnsi="Arial" w:cs="Arial"/>
              <w:sz w:val="18"/>
              <w:szCs w:val="18"/>
            </w:rPr>
            <w:t>INE/WSA-Water &amp; Sanitation</w:t>
          </w:r>
        </w:p>
      </w:docPartBody>
    </w:docPart>
    <w:docPart>
      <w:docPartPr>
        <w:name w:val="6F9C0EEFEBCB4461970FD4876B8C438A"/>
        <w:category>
          <w:name w:val="General"/>
          <w:gallery w:val="placeholder"/>
        </w:category>
        <w:types>
          <w:type w:val="bbPlcHdr"/>
        </w:types>
        <w:behaviors>
          <w:behavior w:val="content"/>
        </w:behaviors>
        <w:guid w:val="{54C690F3-E596-4D61-A1DA-284D84A69DF5}"/>
      </w:docPartPr>
      <w:docPartBody>
        <w:p w:rsidR="00C55FF6" w:rsidRDefault="009931B5" w:rsidP="009931B5">
          <w:pPr>
            <w:pStyle w:val="6F9C0EEFEBCB4461970FD4876B8C438A"/>
          </w:pPr>
          <w:r w:rsidRPr="004A0A91">
            <w:rPr>
              <w:rFonts w:ascii="Arial" w:hAnsi="Arial" w:cs="Arial"/>
              <w:sz w:val="18"/>
              <w:szCs w:val="18"/>
            </w:rPr>
            <w:t>US$100,000.00 (In-Kind)</w:t>
          </w:r>
        </w:p>
      </w:docPartBody>
    </w:docPart>
    <w:docPart>
      <w:docPartPr>
        <w:name w:val="3A441E49045C4B1FA2FC2B82D3BF329B"/>
        <w:category>
          <w:name w:val="General"/>
          <w:gallery w:val="placeholder"/>
        </w:category>
        <w:types>
          <w:type w:val="bbPlcHdr"/>
        </w:types>
        <w:behaviors>
          <w:behavior w:val="content"/>
        </w:behaviors>
        <w:guid w:val="{C27469C1-3ED2-484F-91B0-C7F350AE7E71}"/>
      </w:docPartPr>
      <w:docPartBody>
        <w:p w:rsidR="00C55FF6" w:rsidRDefault="009931B5" w:rsidP="009931B5">
          <w:pPr>
            <w:pStyle w:val="3A441E49045C4B1FA2FC2B82D3BF329B"/>
          </w:pPr>
          <w:r w:rsidRPr="008311B5">
            <w:rPr>
              <w:rFonts w:ascii="Arial" w:hAnsi="Arial" w:cs="Arial"/>
              <w:sz w:val="18"/>
              <w:szCs w:val="18"/>
            </w:rPr>
            <w:t>Project Specific Contributions (PSC); Strategic Development Program Window 2 – Sustainable Infrastructure (W2B)</w:t>
          </w:r>
        </w:p>
      </w:docPartBody>
    </w:docPart>
    <w:docPart>
      <w:docPartPr>
        <w:name w:val="56C1272BEE0247DD9B98E12DA2C29D68"/>
        <w:category>
          <w:name w:val="General"/>
          <w:gallery w:val="placeholder"/>
        </w:category>
        <w:types>
          <w:type w:val="bbPlcHdr"/>
        </w:types>
        <w:behaviors>
          <w:behavior w:val="content"/>
        </w:behaviors>
        <w:guid w:val="{AACD1D19-A510-4D49-A1FD-BB198BC1BD0E}"/>
      </w:docPartPr>
      <w:docPartBody>
        <w:p w:rsidR="00C55FF6" w:rsidRDefault="009931B5" w:rsidP="009931B5">
          <w:pPr>
            <w:pStyle w:val="56C1272BEE0247DD9B98E12DA2C29D68"/>
          </w:pPr>
          <w:r>
            <w:rPr>
              <w:rFonts w:ascii="Arial" w:hAnsi="Arial" w:cs="Arial"/>
              <w:sz w:val="18"/>
              <w:szCs w:val="18"/>
            </w:rPr>
            <w:t>COLOMBIA</w:t>
          </w:r>
        </w:p>
      </w:docPartBody>
    </w:docPart>
    <w:docPart>
      <w:docPartPr>
        <w:name w:val="7D59D61F919644EFAB6C1B7C487B1A10"/>
        <w:category>
          <w:name w:val="General"/>
          <w:gallery w:val="placeholder"/>
        </w:category>
        <w:types>
          <w:type w:val="bbPlcHdr"/>
        </w:types>
        <w:behaviors>
          <w:behavior w:val="content"/>
        </w:behaviors>
        <w:guid w:val="{4DF80CF8-3017-4704-BD35-65D915492940}"/>
      </w:docPartPr>
      <w:docPartBody>
        <w:p w:rsidR="001A4812" w:rsidRDefault="001A4812">
          <w:pPr>
            <w:pStyle w:val="7D59D61F919644EFAB6C1B7C487B1A10"/>
          </w:pPr>
          <w:r>
            <w:rPr>
              <w:rStyle w:val="Textodelmarcadordeposicin"/>
            </w:rPr>
            <w:t xml:space="preserve"> </w:t>
          </w:r>
        </w:p>
      </w:docPartBody>
    </w:docPart>
    <w:docPart>
      <w:docPartPr>
        <w:name w:val="EC373D0577C74A0BA432922C857A30A2"/>
        <w:category>
          <w:name w:val="General"/>
          <w:gallery w:val="placeholder"/>
        </w:category>
        <w:types>
          <w:type w:val="bbPlcHdr"/>
        </w:types>
        <w:behaviors>
          <w:behavior w:val="content"/>
        </w:behaviors>
        <w:guid w:val="{E2EE9887-90BC-4CF6-82C0-3E375FFD9119}"/>
      </w:docPartPr>
      <w:docPartBody>
        <w:p w:rsidR="009931B5" w:rsidRDefault="009931B5" w:rsidP="009931B5">
          <w:pPr>
            <w:pStyle w:val="EC373D0577C74A0BA432922C857A30A21"/>
          </w:pPr>
          <w:r w:rsidRPr="008311B5">
            <w:rPr>
              <w:rFonts w:ascii="Arial" w:hAnsi="Arial" w:cs="Arial"/>
              <w:sz w:val="18"/>
              <w:szCs w:val="18"/>
            </w:rPr>
            <w:t>Increasing Resource Mobilization, Promoting Gender Equality, Diversity and Inclusion, Climate Change and Environmental Sustainability, Institutional Capacity and the Rule of Law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451"/>
    <w:rsid w:val="00000F4A"/>
    <w:rsid w:val="000414E3"/>
    <w:rsid w:val="0007568B"/>
    <w:rsid w:val="00090445"/>
    <w:rsid w:val="000D175C"/>
    <w:rsid w:val="001059AD"/>
    <w:rsid w:val="00113766"/>
    <w:rsid w:val="00142182"/>
    <w:rsid w:val="0016447A"/>
    <w:rsid w:val="00184B62"/>
    <w:rsid w:val="001850C8"/>
    <w:rsid w:val="00185B34"/>
    <w:rsid w:val="001A4812"/>
    <w:rsid w:val="001B45EE"/>
    <w:rsid w:val="001B661B"/>
    <w:rsid w:val="001D373F"/>
    <w:rsid w:val="0022103E"/>
    <w:rsid w:val="002452C2"/>
    <w:rsid w:val="00254F74"/>
    <w:rsid w:val="002A0674"/>
    <w:rsid w:val="002D632A"/>
    <w:rsid w:val="00313842"/>
    <w:rsid w:val="00315270"/>
    <w:rsid w:val="00315B57"/>
    <w:rsid w:val="00320348"/>
    <w:rsid w:val="00320F57"/>
    <w:rsid w:val="003276BD"/>
    <w:rsid w:val="00353F6D"/>
    <w:rsid w:val="003F15C7"/>
    <w:rsid w:val="003F3B06"/>
    <w:rsid w:val="0040273F"/>
    <w:rsid w:val="00412BB1"/>
    <w:rsid w:val="00475829"/>
    <w:rsid w:val="004843B9"/>
    <w:rsid w:val="004F3C3C"/>
    <w:rsid w:val="00534ED1"/>
    <w:rsid w:val="005579A6"/>
    <w:rsid w:val="0056121F"/>
    <w:rsid w:val="00561BFE"/>
    <w:rsid w:val="0057065C"/>
    <w:rsid w:val="005841A3"/>
    <w:rsid w:val="00587CDD"/>
    <w:rsid w:val="005B3BA8"/>
    <w:rsid w:val="00610F55"/>
    <w:rsid w:val="006602A4"/>
    <w:rsid w:val="006804EF"/>
    <w:rsid w:val="006869E5"/>
    <w:rsid w:val="006A5A9B"/>
    <w:rsid w:val="006B16B6"/>
    <w:rsid w:val="007315FF"/>
    <w:rsid w:val="00760921"/>
    <w:rsid w:val="0079000E"/>
    <w:rsid w:val="007C26A3"/>
    <w:rsid w:val="007C4340"/>
    <w:rsid w:val="007E1F65"/>
    <w:rsid w:val="00822346"/>
    <w:rsid w:val="00832CE1"/>
    <w:rsid w:val="00833325"/>
    <w:rsid w:val="0083385D"/>
    <w:rsid w:val="00845A8F"/>
    <w:rsid w:val="00860CBB"/>
    <w:rsid w:val="0086276C"/>
    <w:rsid w:val="00880451"/>
    <w:rsid w:val="008B1BA1"/>
    <w:rsid w:val="008B1E24"/>
    <w:rsid w:val="008D3E48"/>
    <w:rsid w:val="00902C26"/>
    <w:rsid w:val="00906F30"/>
    <w:rsid w:val="00907F97"/>
    <w:rsid w:val="0094446A"/>
    <w:rsid w:val="00963A2D"/>
    <w:rsid w:val="009728D2"/>
    <w:rsid w:val="0098510C"/>
    <w:rsid w:val="009931B5"/>
    <w:rsid w:val="009A20DD"/>
    <w:rsid w:val="009A3780"/>
    <w:rsid w:val="00A12E80"/>
    <w:rsid w:val="00A15DA7"/>
    <w:rsid w:val="00A20006"/>
    <w:rsid w:val="00A233A9"/>
    <w:rsid w:val="00A33D69"/>
    <w:rsid w:val="00A35D74"/>
    <w:rsid w:val="00A5613E"/>
    <w:rsid w:val="00A60949"/>
    <w:rsid w:val="00A76337"/>
    <w:rsid w:val="00AC6B54"/>
    <w:rsid w:val="00AD306F"/>
    <w:rsid w:val="00AF287E"/>
    <w:rsid w:val="00B1113D"/>
    <w:rsid w:val="00B240E6"/>
    <w:rsid w:val="00B90FDE"/>
    <w:rsid w:val="00BB6B78"/>
    <w:rsid w:val="00C00479"/>
    <w:rsid w:val="00C023D8"/>
    <w:rsid w:val="00C07D3D"/>
    <w:rsid w:val="00C47B93"/>
    <w:rsid w:val="00C51ABA"/>
    <w:rsid w:val="00C55FF6"/>
    <w:rsid w:val="00C5691A"/>
    <w:rsid w:val="00C57A44"/>
    <w:rsid w:val="00C60618"/>
    <w:rsid w:val="00C8492A"/>
    <w:rsid w:val="00C84E28"/>
    <w:rsid w:val="00CB13B6"/>
    <w:rsid w:val="00CB15BE"/>
    <w:rsid w:val="00CC2CD4"/>
    <w:rsid w:val="00CC2D4A"/>
    <w:rsid w:val="00CC73CD"/>
    <w:rsid w:val="00CD0A59"/>
    <w:rsid w:val="00CD3FAA"/>
    <w:rsid w:val="00CE5F59"/>
    <w:rsid w:val="00CF6A9E"/>
    <w:rsid w:val="00D67B0D"/>
    <w:rsid w:val="00D763D0"/>
    <w:rsid w:val="00DA2B86"/>
    <w:rsid w:val="00DB0BCB"/>
    <w:rsid w:val="00DB724C"/>
    <w:rsid w:val="00DD6FC8"/>
    <w:rsid w:val="00E00612"/>
    <w:rsid w:val="00E20B88"/>
    <w:rsid w:val="00E2481E"/>
    <w:rsid w:val="00E43702"/>
    <w:rsid w:val="00E63E37"/>
    <w:rsid w:val="00E71AF0"/>
    <w:rsid w:val="00E77576"/>
    <w:rsid w:val="00E872C9"/>
    <w:rsid w:val="00EB5604"/>
    <w:rsid w:val="00EC0F92"/>
    <w:rsid w:val="00EC5915"/>
    <w:rsid w:val="00ED46C2"/>
    <w:rsid w:val="00ED6A68"/>
    <w:rsid w:val="00F24AFF"/>
    <w:rsid w:val="00F34310"/>
    <w:rsid w:val="00F34B17"/>
    <w:rsid w:val="00F504BF"/>
    <w:rsid w:val="00F60027"/>
    <w:rsid w:val="00F7328D"/>
    <w:rsid w:val="00FE67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65A2B2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931B5"/>
    <w:rPr>
      <w:color w:val="808080"/>
    </w:rPr>
  </w:style>
  <w:style w:type="paragraph" w:customStyle="1" w:styleId="1826176F614340649BFAC28C3B63B78317">
    <w:name w:val="1826176F614340649BFAC28C3B63B78317"/>
    <w:rsid w:val="00B1113D"/>
    <w:rPr>
      <w:lang w:val="en-US" w:eastAsia="en-US"/>
    </w:rPr>
  </w:style>
  <w:style w:type="paragraph" w:customStyle="1" w:styleId="467533B11B3842A885C4CE0AFBB936CB">
    <w:name w:val="467533B11B3842A885C4CE0AFBB936CB"/>
    <w:rsid w:val="00534ED1"/>
    <w:pPr>
      <w:spacing w:after="160" w:line="259" w:lineRule="auto"/>
    </w:pPr>
    <w:rPr>
      <w:lang w:val="es-CL" w:eastAsia="es-CL"/>
    </w:rPr>
  </w:style>
  <w:style w:type="paragraph" w:customStyle="1" w:styleId="7D59D61F919644EFAB6C1B7C487B1A10">
    <w:name w:val="7D59D61F919644EFAB6C1B7C487B1A10"/>
    <w:pPr>
      <w:spacing w:after="160" w:line="278" w:lineRule="auto"/>
    </w:pPr>
    <w:rPr>
      <w:kern w:val="2"/>
      <w:sz w:val="24"/>
      <w:szCs w:val="24"/>
      <w:lang w:val="en-US" w:eastAsia="en-US"/>
    </w:rPr>
  </w:style>
  <w:style w:type="paragraph" w:styleId="Textocomentario">
    <w:name w:val="annotation text"/>
    <w:basedOn w:val="Normal"/>
    <w:link w:val="TextocomentarioCar"/>
    <w:uiPriority w:val="99"/>
    <w:unhideWhenUsed/>
    <w:rsid w:val="00F7328D"/>
    <w:pPr>
      <w:spacing w:line="240" w:lineRule="auto"/>
    </w:pPr>
    <w:rPr>
      <w:sz w:val="20"/>
      <w:szCs w:val="20"/>
      <w:lang w:val="en-US" w:eastAsia="en-US"/>
    </w:rPr>
  </w:style>
  <w:style w:type="character" w:customStyle="1" w:styleId="TextocomentarioCar">
    <w:name w:val="Texto comentario Car"/>
    <w:basedOn w:val="Fuentedeprrafopredeter"/>
    <w:link w:val="Textocomentario"/>
    <w:uiPriority w:val="99"/>
    <w:rsid w:val="00F7328D"/>
    <w:rPr>
      <w:sz w:val="20"/>
      <w:szCs w:val="20"/>
      <w:lang w:val="en-US" w:eastAsia="en-US"/>
    </w:rPr>
  </w:style>
  <w:style w:type="paragraph" w:customStyle="1" w:styleId="DFF8BD4D882A441F8845491D2D63C9901">
    <w:name w:val="DFF8BD4D882A441F8845491D2D63C9901"/>
    <w:rsid w:val="00F7328D"/>
    <w:rPr>
      <w:lang w:val="en-US" w:eastAsia="en-US"/>
    </w:rPr>
  </w:style>
  <w:style w:type="paragraph" w:customStyle="1" w:styleId="56C1272BEE0247DD9B98E12DA2C29D68">
    <w:name w:val="56C1272BEE0247DD9B98E12DA2C29D68"/>
    <w:rsid w:val="009931B5"/>
    <w:rPr>
      <w:lang w:val="en-US" w:eastAsia="en-US"/>
    </w:rPr>
  </w:style>
  <w:style w:type="paragraph" w:customStyle="1" w:styleId="FF4E946AA9D24613ACEFC195E8499DBF">
    <w:name w:val="FF4E946AA9D24613ACEFC195E8499DBF"/>
    <w:rsid w:val="009931B5"/>
    <w:rPr>
      <w:lang w:val="en-US" w:eastAsia="en-US"/>
    </w:rPr>
  </w:style>
  <w:style w:type="paragraph" w:customStyle="1" w:styleId="13B3AC0D3E9944F6A0BA112345EA50C9">
    <w:name w:val="13B3AC0D3E9944F6A0BA112345EA50C9"/>
    <w:rsid w:val="009931B5"/>
    <w:rPr>
      <w:lang w:val="en-US" w:eastAsia="en-US"/>
    </w:rPr>
  </w:style>
  <w:style w:type="paragraph" w:customStyle="1" w:styleId="F21B320DC5CC4CA29D18953BBE653F77">
    <w:name w:val="F21B320DC5CC4CA29D18953BBE653F77"/>
    <w:rsid w:val="009931B5"/>
    <w:rPr>
      <w:lang w:val="en-US" w:eastAsia="en-US"/>
    </w:rPr>
  </w:style>
  <w:style w:type="paragraph" w:customStyle="1" w:styleId="7D3AEF0B751A447FB17ABAB7B569C791">
    <w:name w:val="7D3AEF0B751A447FB17ABAB7B569C791"/>
    <w:rsid w:val="009931B5"/>
    <w:rPr>
      <w:lang w:val="en-US" w:eastAsia="en-US"/>
    </w:rPr>
  </w:style>
  <w:style w:type="paragraph" w:customStyle="1" w:styleId="3A441E49045C4B1FA2FC2B82D3BF329B">
    <w:name w:val="3A441E49045C4B1FA2FC2B82D3BF329B"/>
    <w:rsid w:val="009931B5"/>
    <w:rPr>
      <w:lang w:val="en-US" w:eastAsia="en-US"/>
    </w:rPr>
  </w:style>
  <w:style w:type="paragraph" w:customStyle="1" w:styleId="6F9C0EEFEBCB4461970FD4876B8C438A">
    <w:name w:val="6F9C0EEFEBCB4461970FD4876B8C438A"/>
    <w:rsid w:val="009931B5"/>
    <w:rPr>
      <w:lang w:val="en-US" w:eastAsia="en-US"/>
    </w:rPr>
  </w:style>
  <w:style w:type="paragraph" w:customStyle="1" w:styleId="B5025FA864254B32A998D1BB8022EDC4">
    <w:name w:val="B5025FA864254B32A998D1BB8022EDC4"/>
    <w:rsid w:val="009931B5"/>
    <w:rPr>
      <w:lang w:val="en-US" w:eastAsia="en-US"/>
    </w:rPr>
  </w:style>
  <w:style w:type="paragraph" w:customStyle="1" w:styleId="4448204930944A64B2C249B7F2A3DD18">
    <w:name w:val="4448204930944A64B2C249B7F2A3DD18"/>
    <w:rsid w:val="009931B5"/>
    <w:rPr>
      <w:lang w:val="en-US" w:eastAsia="en-US"/>
    </w:rPr>
  </w:style>
  <w:style w:type="paragraph" w:customStyle="1" w:styleId="EC373D0577C74A0BA432922C857A30A21">
    <w:name w:val="EC373D0577C74A0BA432922C857A30A21"/>
    <w:rsid w:val="009931B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02176d-b2b9-4285-9c3d-cacee5e198d4">
      <Value>5</Value>
      <Value>4</Value>
      <Value>3</Value>
      <Value>2</Value>
      <Value>1</Value>
    </TaxCatchAll>
    <lcf76f155ced4ddcb4097134ff3c332f xmlns="0d129538-f825-474a-9c7f-adb8b86f3a72">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ae61f9b1-e23d-4f49-b3d7-56b991556c4b" ContentTypeId="0x010100ACF722E9F6B0B149B0CD8BE2560A6672" PreviousValue="false"/>
</file>

<file path=customXml/item3.xml><?xml version="1.0" encoding="utf-8"?>
<ct:contentTypeSchema xmlns:ct="http://schemas.microsoft.com/office/2006/metadata/contentType" xmlns:ma="http://schemas.microsoft.com/office/2006/metadata/properties/metaAttributes" ct:_="" ma:_="" ma:contentTypeName="Documento" ma:contentTypeID="0x010100EAFAF905F9E6AD4DB9134E3420587CC8" ma:contentTypeVersion="15" ma:contentTypeDescription="Crear nuevo documento." ma:contentTypeScope="" ma:versionID="6a340e3354dfbb891db1f8842ffc78f1">
  <xsd:schema xmlns:xsd="http://www.w3.org/2001/XMLSchema" xmlns:xs="http://www.w3.org/2001/XMLSchema" xmlns:p="http://schemas.microsoft.com/office/2006/metadata/properties" xmlns:ns2="0d129538-f825-474a-9c7f-adb8b86f3a72" xmlns:ns3="6f02176d-b2b9-4285-9c3d-cacee5e198d4" targetNamespace="http://schemas.microsoft.com/office/2006/metadata/properties" ma:root="true" ma:fieldsID="33dbab2052adf50cf82797fe6606a840" ns2:_="" ns3:_="">
    <xsd:import namespace="0d129538-f825-474a-9c7f-adb8b86f3a72"/>
    <xsd:import namespace="6f02176d-b2b9-4285-9c3d-cacee5e198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29538-f825-474a-9c7f-adb8b86f3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2176d-b2b9-4285-9c3d-cacee5e198d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d9a6bd8-6605-4ad5-aa47-55fe7bd04107}" ma:internalName="TaxCatchAll" ma:showField="CatchAllData" ma:web="6f02176d-b2b9-4285-9c3d-cacee5e198d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z-Operations" ma:contentTypeID="0x010100ACF722E9F6B0B149B0CD8BE2560A66720054BD7C02D95AEE4B84C83CE8FD79EB3A" ma:contentTypeVersion="145" ma:contentTypeDescription="The base project type from which other project content types inherit their information." ma:contentTypeScope="" ma:versionID="cd81dbba5bf0c88f33950e7b73a6adbf">
  <xsd:schema xmlns:xsd="http://www.w3.org/2001/XMLSchema" xmlns:xs="http://www.w3.org/2001/XMLSchema" xmlns:p="http://schemas.microsoft.com/office/2006/metadata/properties" xmlns:ns2="cdc7663a-08f0-4737-9e8c-148ce897a09c" targetNamespace="http://schemas.microsoft.com/office/2006/metadata/properties" ma:root="true" ma:fieldsID="1de00e4bf534d335c0bdea0ec057b7f5"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dexed="true"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67500ad-0282-40f9-9f22-844c7dcbeadd}" ma:internalName="TaxCatchAll" ma:showField="CatchAllData" ma:web="1bd8287e-bd2a-49e0-b52e-774139d0f0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67500ad-0282-40f9-9f22-844c7dcbeadd}" ma:internalName="TaxCatchAllLabel" ma:readOnly="true" ma:showField="CatchAllDataLabel" ma:web="1bd8287e-bd2a-49e0-b52e-774139d0f0fc">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internalName="Project_x0020_Number" ma:readOnly="false">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9D2E0-DF1D-48A4-A313-8A4B3141D69F}">
  <ds:schemaRefs>
    <ds:schemaRef ds:uri="http://schemas.microsoft.com/office/2006/metadata/properties"/>
    <ds:schemaRef ds:uri="http://schemas.microsoft.com/office/infopath/2007/PartnerControls"/>
    <ds:schemaRef ds:uri="cdc7663a-08f0-4737-9e8c-148ce897a09c"/>
  </ds:schemaRefs>
</ds:datastoreItem>
</file>

<file path=customXml/itemProps2.xml><?xml version="1.0" encoding="utf-8"?>
<ds:datastoreItem xmlns:ds="http://schemas.openxmlformats.org/officeDocument/2006/customXml" ds:itemID="{2A0F73F2-34B8-475C-A802-E5BC7AF5BC61}">
  <ds:schemaRefs>
    <ds:schemaRef ds:uri="Microsoft.SharePoint.Taxonomy.ContentTypeSync"/>
  </ds:schemaRefs>
</ds:datastoreItem>
</file>

<file path=customXml/itemProps3.xml><?xml version="1.0" encoding="utf-8"?>
<ds:datastoreItem xmlns:ds="http://schemas.openxmlformats.org/officeDocument/2006/customXml" ds:itemID="{48EA75B8-2AFF-4E35-AA8F-E4A7F50312DF}"/>
</file>

<file path=customXml/itemProps4.xml><?xml version="1.0" encoding="utf-8"?>
<ds:datastoreItem xmlns:ds="http://schemas.openxmlformats.org/officeDocument/2006/customXml" ds:itemID="{3E05E45A-43C3-46C6-926D-4A423DD30FD7}">
  <ds:schemaRefs>
    <ds:schemaRef ds:uri="http://schemas.microsoft.com/sharepoint/v3/contenttype/forms"/>
  </ds:schemaRefs>
</ds:datastoreItem>
</file>

<file path=customXml/itemProps5.xml><?xml version="1.0" encoding="utf-8"?>
<ds:datastoreItem xmlns:ds="http://schemas.openxmlformats.org/officeDocument/2006/customXml" ds:itemID="{4A87B471-224A-4028-A013-92A5FBF10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5003</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32456</CharactersWithSpaces>
  <SharedDoc>false</SharedDoc>
  <HLinks>
    <vt:vector size="24" baseType="variant">
      <vt:variant>
        <vt:i4>8323107</vt:i4>
      </vt:variant>
      <vt:variant>
        <vt:i4>0</vt:i4>
      </vt:variant>
      <vt:variant>
        <vt:i4>0</vt:i4>
      </vt:variant>
      <vt:variant>
        <vt:i4>5</vt:i4>
      </vt:variant>
      <vt:variant>
        <vt:lpwstr>https://convergence.iadb.org/Operation/CO-T1457</vt:lpwstr>
      </vt:variant>
      <vt:variant>
        <vt:lpwstr/>
      </vt:variant>
      <vt:variant>
        <vt:i4>2490430</vt:i4>
      </vt:variant>
      <vt:variant>
        <vt:i4>6</vt:i4>
      </vt:variant>
      <vt:variant>
        <vt:i4>0</vt:i4>
      </vt:variant>
      <vt:variant>
        <vt:i4>5</vt:i4>
      </vt:variant>
      <vt:variant>
        <vt:lpwstr>https://www.acodal.org.co/wop-colombia/</vt:lpwstr>
      </vt:variant>
      <vt:variant>
        <vt:lpwstr/>
      </vt:variant>
      <vt:variant>
        <vt:i4>17</vt:i4>
      </vt:variant>
      <vt:variant>
        <vt:i4>3</vt:i4>
      </vt:variant>
      <vt:variant>
        <vt:i4>0</vt:i4>
      </vt:variant>
      <vt:variant>
        <vt:i4>5</vt:i4>
      </vt:variant>
      <vt:variant>
        <vt:lpwstr>https://aloas.org/institucional/Pages/Que-es-WOPLAC.aspx</vt:lpwstr>
      </vt:variant>
      <vt:variant>
        <vt:lpwstr/>
      </vt:variant>
      <vt:variant>
        <vt:i4>2293814</vt:i4>
      </vt:variant>
      <vt:variant>
        <vt:i4>0</vt:i4>
      </vt:variant>
      <vt:variant>
        <vt:i4>0</vt:i4>
      </vt:variant>
      <vt:variant>
        <vt:i4>5</vt:i4>
      </vt:variant>
      <vt:variant>
        <vt:lpwstr>http://www.accionsectorialdelagua.com/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Strachan;Viraj Kanjee</dc:creator>
  <cp:keywords/>
  <cp:lastModifiedBy>Susana Orejarena</cp:lastModifiedBy>
  <cp:revision>2</cp:revision>
  <cp:lastPrinted>2011-03-28T14:34:00Z</cp:lastPrinted>
  <dcterms:created xsi:type="dcterms:W3CDTF">2024-11-06T15:49:00Z</dcterms:created>
  <dcterms:modified xsi:type="dcterms:W3CDTF">2024-11-06T15:49:00Z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ub_x002d_Sector">
    <vt:lpwstr>5;#WATER SUPPLY URBAN|28df1b5d-8f50-49f8-b50a-8bcbae67d2a4</vt:lpwstr>
  </property>
  <property fmtid="{D5CDD505-2E9C-101B-9397-08002B2CF9AE}" pid="4" name="Function_x0020_Operations_x0020_IDB">
    <vt:lpwstr>1;#P-01 Project Planning and Approval|29ca0c72-1fc4-435f-a09c-28585cb5eac9</vt:lpwstr>
  </property>
  <property fmtid="{D5CDD505-2E9C-101B-9397-08002B2CF9AE}" pid="5" name="TaxKeywordTaxHTField">
    <vt:lpwstr/>
  </property>
  <property fmtid="{D5CDD505-2E9C-101B-9397-08002B2CF9AE}" pid="6" name="Fund_x0020_IDB">
    <vt:lpwstr>2;#W2B|ebffcc9d-0346-4a31-99a5-243800cd90bc</vt:lpwstr>
  </property>
  <property fmtid="{D5CDD505-2E9C-101B-9397-08002B2CF9AE}" pid="7" name="Function Operations IDB">
    <vt:lpwstr>1;#P-01 Project Planning and Approval|29ca0c72-1fc4-435f-a09c-28585cb5eac9</vt:lpwstr>
  </property>
  <property fmtid="{D5CDD505-2E9C-101B-9397-08002B2CF9AE}" pid="8" name="Sector_x0020_IDB">
    <vt:lpwstr>4;#WATER AND SANITATION|ba6b63cd-e402-47cb-9357-08149f7ce046</vt:lpwstr>
  </property>
  <property fmtid="{D5CDD505-2E9C-101B-9397-08002B2CF9AE}" pid="9" name="Series Operations IDB">
    <vt:lpwstr/>
  </property>
  <property fmtid="{D5CDD505-2E9C-101B-9397-08002B2CF9AE}" pid="10" name="Sub-Sector">
    <vt:lpwstr>5;#WATER SUPPLY URBAN|28df1b5d-8f50-49f8-b50a-8bcbae67d2a4</vt:lpwstr>
  </property>
  <property fmtid="{D5CDD505-2E9C-101B-9397-08002B2CF9AE}" pid="11" name="_dlc_DocIdItemGuid">
    <vt:lpwstr>919e4bc2-bbfa-4cb9-8ffc-7c2e0186a006</vt:lpwstr>
  </property>
  <property fmtid="{D5CDD505-2E9C-101B-9397-08002B2CF9AE}" pid="12" name="Country">
    <vt:lpwstr>3;#Colombia|c7d386d6-75f3-4fc0-bde8-e021ccd68f5c</vt:lpwstr>
  </property>
  <property fmtid="{D5CDD505-2E9C-101B-9397-08002B2CF9AE}" pid="13" name="Fund IDB">
    <vt:lpwstr>2;#W2B|ebffcc9d-0346-4a31-99a5-243800cd90bc</vt:lpwstr>
  </property>
  <property fmtid="{D5CDD505-2E9C-101B-9397-08002B2CF9AE}" pid="14" name="Series_x0020_Operations_x0020_IDB">
    <vt:lpwstr/>
  </property>
  <property fmtid="{D5CDD505-2E9C-101B-9397-08002B2CF9AE}" pid="15" name="Sector IDB">
    <vt:lpwstr>4;#WATER AND SANITATION|ba6b63cd-e402-47cb-9357-08149f7ce046</vt:lpwstr>
  </property>
  <property fmtid="{D5CDD505-2E9C-101B-9397-08002B2CF9AE}" pid="16" name="ContentTypeId">
    <vt:lpwstr>0x010100EAFAF905F9E6AD4DB9134E3420587CC8</vt:lpwstr>
  </property>
</Properties>
</file>